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05E24">
      <w:pPr>
        <w:spacing w:line="560" w:lineRule="exact"/>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b/>
          <w:sz w:val="44"/>
          <w:szCs w:val="44"/>
        </w:rPr>
        <w:t>新南园餐厅（科技孵化中心）学生用房配套设施采购项目市场调研公告</w:t>
      </w:r>
    </w:p>
    <w:p w14:paraId="14E9E5A6">
      <w:pPr>
        <w:widowControl/>
        <w:shd w:val="clear" w:color="auto" w:fill="FFFFFF"/>
        <w:spacing w:after="86" w:line="560" w:lineRule="exact"/>
        <w:jc w:val="left"/>
        <w:rPr>
          <w:rFonts w:ascii="仿宋_GB2312" w:hAnsi="仿宋_GB2312" w:eastAsia="仿宋_GB2312" w:cs="仿宋_GB2312"/>
          <w:color w:val="333333"/>
          <w:kern w:val="0"/>
          <w:sz w:val="32"/>
          <w:szCs w:val="32"/>
          <w:shd w:val="clear" w:color="auto" w:fill="FFFFFF"/>
          <w:lang w:bidi="ar"/>
        </w:rPr>
      </w:pPr>
    </w:p>
    <w:p w14:paraId="2915A3F1">
      <w:pPr>
        <w:widowControl/>
        <w:shd w:val="clear" w:color="auto" w:fill="FFFFFF"/>
        <w:spacing w:after="86" w:line="560" w:lineRule="exact"/>
        <w:jc w:val="left"/>
        <w:rPr>
          <w:rFonts w:ascii="Arial" w:hAnsi="Arial" w:cs="Arial"/>
          <w:color w:val="333333"/>
          <w:sz w:val="32"/>
          <w:szCs w:val="32"/>
        </w:rPr>
      </w:pPr>
      <w:r>
        <w:rPr>
          <w:rFonts w:ascii="仿宋_GB2312" w:hAnsi="仿宋_GB2312" w:eastAsia="仿宋_GB2312" w:cs="仿宋_GB2312"/>
          <w:color w:val="333333"/>
          <w:kern w:val="0"/>
          <w:sz w:val="32"/>
          <w:szCs w:val="32"/>
          <w:shd w:val="clear" w:color="auto" w:fill="FFFFFF"/>
          <w:lang w:bidi="ar"/>
        </w:rPr>
        <w:t>各单位：</w:t>
      </w:r>
    </w:p>
    <w:p w14:paraId="27E9B319">
      <w:pPr>
        <w:widowControl/>
        <w:shd w:val="clear" w:color="auto" w:fill="FFFFFF"/>
        <w:spacing w:after="86" w:line="560" w:lineRule="exact"/>
        <w:ind w:firstLine="377"/>
        <w:rPr>
          <w:rFonts w:ascii="Arial" w:hAnsi="Arial" w:cs="Arial"/>
          <w:color w:val="333333"/>
          <w:sz w:val="32"/>
          <w:szCs w:val="32"/>
        </w:rPr>
      </w:pPr>
      <w:r>
        <w:rPr>
          <w:rFonts w:ascii="仿宋_GB2312" w:hAnsi="仿宋_GB2312" w:eastAsia="仿宋_GB2312" w:cs="仿宋_GB2312"/>
          <w:color w:val="333333"/>
          <w:kern w:val="0"/>
          <w:sz w:val="32"/>
          <w:szCs w:val="32"/>
          <w:shd w:val="clear" w:color="auto" w:fill="FFFFFF"/>
          <w:lang w:bidi="ar"/>
        </w:rPr>
        <w:t>我校拟于2025年</w:t>
      </w:r>
      <w:r>
        <w:rPr>
          <w:rFonts w:hint="eastAsia" w:ascii="仿宋_GB2312" w:hAnsi="仿宋_GB2312" w:eastAsia="仿宋_GB2312" w:cs="仿宋_GB2312"/>
          <w:color w:val="333333"/>
          <w:kern w:val="0"/>
          <w:sz w:val="32"/>
          <w:szCs w:val="32"/>
          <w:shd w:val="clear" w:color="auto" w:fill="FFFFFF"/>
          <w:lang w:bidi="ar"/>
        </w:rPr>
        <w:t>10月</w:t>
      </w:r>
      <w:r>
        <w:rPr>
          <w:rFonts w:ascii="仿宋_GB2312" w:hAnsi="仿宋_GB2312" w:eastAsia="仿宋_GB2312" w:cs="仿宋_GB2312"/>
          <w:color w:val="333333"/>
          <w:kern w:val="0"/>
          <w:sz w:val="32"/>
          <w:szCs w:val="32"/>
          <w:shd w:val="clear" w:color="auto" w:fill="FFFFFF"/>
          <w:lang w:bidi="ar"/>
        </w:rPr>
        <w:t>招标新南园餐厅（科技孵化中心）学生用房配套设施采购项目，现面向你单位征询相关意见，请根据工作实际填写相关情况并提出反馈意见（反馈意见可以批注形式反馈），最迟请于2025年</w:t>
      </w:r>
      <w:r>
        <w:rPr>
          <w:rFonts w:hint="eastAsia" w:ascii="仿宋_GB2312" w:hAnsi="仿宋_GB2312" w:eastAsia="仿宋_GB2312" w:cs="仿宋_GB2312"/>
          <w:color w:val="333333"/>
          <w:kern w:val="0"/>
          <w:sz w:val="32"/>
          <w:szCs w:val="32"/>
          <w:shd w:val="clear" w:color="auto" w:fill="FFFFFF"/>
          <w:lang w:bidi="ar"/>
        </w:rPr>
        <w:t>9</w:t>
      </w:r>
      <w:r>
        <w:rPr>
          <w:rFonts w:ascii="仿宋_GB2312" w:hAnsi="仿宋_GB2312" w:eastAsia="仿宋_GB2312" w:cs="仿宋_GB2312"/>
          <w:color w:val="333333"/>
          <w:kern w:val="0"/>
          <w:sz w:val="32"/>
          <w:szCs w:val="32"/>
          <w:shd w:val="clear" w:color="auto" w:fill="FFFFFF"/>
          <w:lang w:bidi="ar"/>
        </w:rPr>
        <w:t>月</w:t>
      </w:r>
      <w:r>
        <w:rPr>
          <w:rFonts w:hint="eastAsia" w:ascii="仿宋_GB2312" w:hAnsi="仿宋_GB2312" w:eastAsia="仿宋_GB2312" w:cs="仿宋_GB2312"/>
          <w:color w:val="333333"/>
          <w:kern w:val="0"/>
          <w:sz w:val="32"/>
          <w:szCs w:val="32"/>
          <w:shd w:val="clear" w:color="auto" w:fill="FFFFFF"/>
          <w:lang w:bidi="ar"/>
        </w:rPr>
        <w:t>2</w:t>
      </w:r>
      <w:r>
        <w:rPr>
          <w:rFonts w:hint="eastAsia" w:ascii="仿宋_GB2312" w:hAnsi="仿宋_GB2312" w:eastAsia="仿宋_GB2312" w:cs="仿宋_GB2312"/>
          <w:color w:val="333333"/>
          <w:kern w:val="0"/>
          <w:sz w:val="32"/>
          <w:szCs w:val="32"/>
          <w:shd w:val="clear" w:color="auto" w:fill="FFFFFF"/>
          <w:lang w:val="en-US" w:eastAsia="zh-CN" w:bidi="ar"/>
        </w:rPr>
        <w:t>6</w:t>
      </w:r>
      <w:r>
        <w:rPr>
          <w:rFonts w:ascii="仿宋_GB2312" w:hAnsi="仿宋_GB2312" w:eastAsia="仿宋_GB2312" w:cs="仿宋_GB2312"/>
          <w:color w:val="333333"/>
          <w:kern w:val="0"/>
          <w:sz w:val="32"/>
          <w:szCs w:val="32"/>
          <w:shd w:val="clear" w:color="auto" w:fill="FFFFFF"/>
          <w:lang w:bidi="ar"/>
        </w:rPr>
        <w:t>日</w:t>
      </w:r>
      <w:r>
        <w:rPr>
          <w:rFonts w:hint="eastAsia" w:ascii="仿宋_GB2312" w:hAnsi="仿宋_GB2312" w:eastAsia="仿宋_GB2312" w:cs="仿宋_GB2312"/>
          <w:color w:val="333333"/>
          <w:kern w:val="0"/>
          <w:sz w:val="32"/>
          <w:szCs w:val="32"/>
          <w:shd w:val="clear" w:color="auto" w:fill="FFFFFF"/>
          <w:lang w:val="en-US" w:eastAsia="zh-CN" w:bidi="ar"/>
        </w:rPr>
        <w:t>上午12：00</w:t>
      </w:r>
      <w:bookmarkStart w:id="1" w:name="_GoBack"/>
      <w:bookmarkEnd w:id="1"/>
      <w:r>
        <w:rPr>
          <w:rFonts w:ascii="仿宋_GB2312" w:hAnsi="仿宋_GB2312" w:eastAsia="仿宋_GB2312" w:cs="仿宋_GB2312"/>
          <w:color w:val="333333"/>
          <w:kern w:val="0"/>
          <w:sz w:val="32"/>
          <w:szCs w:val="32"/>
          <w:shd w:val="clear" w:color="auto" w:fill="FFFFFF"/>
          <w:lang w:bidi="ar"/>
        </w:rPr>
        <w:t>之前反馈至邮箱hqjt@ahjzu.edu.cn，谢谢！</w:t>
      </w:r>
    </w:p>
    <w:p w14:paraId="307A86DA">
      <w:pPr>
        <w:widowControl/>
        <w:shd w:val="clear" w:color="auto" w:fill="FFFFFF"/>
        <w:spacing w:after="86" w:line="560" w:lineRule="exact"/>
        <w:jc w:val="left"/>
        <w:rPr>
          <w:rFonts w:ascii="Arial" w:hAnsi="Arial" w:cs="Arial"/>
          <w:color w:val="333333"/>
          <w:sz w:val="32"/>
          <w:szCs w:val="32"/>
        </w:rPr>
      </w:pPr>
      <w:r>
        <w:rPr>
          <w:rFonts w:ascii="仿宋_GB2312" w:hAnsi="仿宋_GB2312" w:eastAsia="仿宋_GB2312" w:cs="仿宋_GB2312"/>
          <w:color w:val="333333"/>
          <w:kern w:val="0"/>
          <w:sz w:val="32"/>
          <w:szCs w:val="32"/>
          <w:shd w:val="clear" w:color="auto" w:fill="FFFFFF"/>
          <w:lang w:bidi="ar"/>
        </w:rPr>
        <w:t> </w:t>
      </w:r>
    </w:p>
    <w:p w14:paraId="4FA515E2">
      <w:pPr>
        <w:widowControl/>
        <w:shd w:val="clear" w:color="auto" w:fill="FFFFFF"/>
        <w:spacing w:after="86" w:line="560" w:lineRule="exact"/>
        <w:jc w:val="right"/>
        <w:rPr>
          <w:rFonts w:ascii="Arial" w:hAnsi="Arial" w:cs="Arial"/>
          <w:color w:val="333333"/>
          <w:sz w:val="32"/>
          <w:szCs w:val="32"/>
        </w:rPr>
      </w:pPr>
      <w:r>
        <w:rPr>
          <w:rFonts w:ascii="仿宋_GB2312" w:hAnsi="仿宋_GB2312" w:eastAsia="仿宋_GB2312" w:cs="仿宋_GB2312"/>
          <w:color w:val="333333"/>
          <w:kern w:val="0"/>
          <w:sz w:val="32"/>
          <w:szCs w:val="32"/>
          <w:shd w:val="clear" w:color="auto" w:fill="FFFFFF"/>
          <w:lang w:bidi="ar"/>
        </w:rPr>
        <w:t> </w:t>
      </w:r>
    </w:p>
    <w:p w14:paraId="4DD9EBE0">
      <w:pPr>
        <w:widowControl/>
        <w:shd w:val="clear" w:color="auto" w:fill="FFFFFF"/>
        <w:spacing w:after="86" w:line="560" w:lineRule="exact"/>
        <w:jc w:val="right"/>
        <w:rPr>
          <w:rFonts w:ascii="Arial" w:hAnsi="Arial" w:cs="Arial"/>
          <w:color w:val="333333"/>
          <w:sz w:val="32"/>
          <w:szCs w:val="32"/>
        </w:rPr>
      </w:pPr>
      <w:r>
        <w:rPr>
          <w:rFonts w:ascii="仿宋_GB2312" w:hAnsi="仿宋_GB2312" w:eastAsia="仿宋_GB2312" w:cs="仿宋_GB2312"/>
          <w:color w:val="333333"/>
          <w:kern w:val="0"/>
          <w:sz w:val="32"/>
          <w:szCs w:val="32"/>
          <w:shd w:val="clear" w:color="auto" w:fill="FFFFFF"/>
          <w:lang w:bidi="ar"/>
        </w:rPr>
        <w:t>安徽建筑大学后勤管理处</w:t>
      </w:r>
    </w:p>
    <w:p w14:paraId="4D435042">
      <w:pPr>
        <w:pStyle w:val="3"/>
        <w:widowControl/>
        <w:shd w:val="clear" w:color="auto" w:fill="FFFFFF"/>
        <w:spacing w:beforeAutospacing="0" w:after="86" w:afterAutospacing="0" w:line="560" w:lineRule="exact"/>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2025年</w:t>
      </w:r>
      <w:r>
        <w:rPr>
          <w:rFonts w:hint="eastAsia" w:ascii="仿宋_GB2312" w:hAnsi="仿宋_GB2312" w:eastAsia="仿宋_GB2312" w:cs="仿宋_GB2312"/>
          <w:color w:val="333333"/>
          <w:sz w:val="32"/>
          <w:szCs w:val="32"/>
          <w:shd w:val="clear" w:color="auto" w:fill="FFFFFF"/>
        </w:rPr>
        <w:t>9</w:t>
      </w:r>
      <w:r>
        <w:rPr>
          <w:rFonts w:ascii="仿宋_GB2312" w:hAnsi="仿宋_GB2312" w:eastAsia="仿宋_GB2312" w:cs="仿宋_GB2312"/>
          <w:color w:val="333333"/>
          <w:sz w:val="32"/>
          <w:szCs w:val="32"/>
          <w:shd w:val="clear" w:color="auto" w:fill="FFFFFF"/>
        </w:rPr>
        <w:t>月</w:t>
      </w:r>
      <w:r>
        <w:rPr>
          <w:rFonts w:hint="eastAsia" w:ascii="仿宋_GB2312" w:hAnsi="仿宋_GB2312" w:eastAsia="仿宋_GB2312" w:cs="仿宋_GB2312"/>
          <w:color w:val="333333"/>
          <w:sz w:val="32"/>
          <w:szCs w:val="32"/>
          <w:shd w:val="clear" w:color="auto" w:fill="FFFFFF"/>
        </w:rPr>
        <w:t>23</w:t>
      </w:r>
      <w:r>
        <w:rPr>
          <w:rFonts w:ascii="仿宋_GB2312" w:hAnsi="仿宋_GB2312" w:eastAsia="仿宋_GB2312" w:cs="仿宋_GB2312"/>
          <w:color w:val="333333"/>
          <w:sz w:val="32"/>
          <w:szCs w:val="32"/>
          <w:shd w:val="clear" w:color="auto" w:fill="FFFFFF"/>
        </w:rPr>
        <w:t>日</w:t>
      </w:r>
    </w:p>
    <w:p w14:paraId="4487C96C">
      <w:pPr>
        <w:pStyle w:val="3"/>
        <w:widowControl/>
        <w:shd w:val="clear" w:color="auto" w:fill="FFFFFF"/>
        <w:spacing w:beforeAutospacing="0" w:after="86" w:afterAutospacing="0" w:line="560" w:lineRule="exact"/>
        <w:jc w:val="center"/>
        <w:rPr>
          <w:rFonts w:ascii="仿宋_GB2312" w:hAnsi="仿宋_GB2312" w:eastAsia="仿宋_GB2312" w:cs="仿宋_GB2312"/>
          <w:color w:val="333333"/>
          <w:sz w:val="18"/>
          <w:szCs w:val="18"/>
          <w:shd w:val="clear" w:color="auto" w:fill="FFFFFF"/>
        </w:rPr>
      </w:pPr>
    </w:p>
    <w:p w14:paraId="09BE5C5D">
      <w:pPr>
        <w:pStyle w:val="3"/>
        <w:widowControl/>
        <w:shd w:val="clear" w:color="auto" w:fill="FFFFFF"/>
        <w:spacing w:beforeAutospacing="0" w:after="86" w:afterAutospacing="0" w:line="560" w:lineRule="exact"/>
        <w:jc w:val="center"/>
        <w:rPr>
          <w:rFonts w:ascii="仿宋_GB2312" w:hAnsi="仿宋_GB2312" w:eastAsia="仿宋_GB2312" w:cs="仿宋_GB2312"/>
          <w:color w:val="333333"/>
          <w:sz w:val="18"/>
          <w:szCs w:val="18"/>
          <w:shd w:val="clear" w:color="auto" w:fill="FFFFFF"/>
        </w:rPr>
      </w:pPr>
    </w:p>
    <w:p w14:paraId="495C34F9">
      <w:pPr>
        <w:pStyle w:val="3"/>
        <w:widowControl/>
        <w:shd w:val="clear" w:color="auto" w:fill="FFFFFF"/>
        <w:spacing w:beforeAutospacing="0" w:after="86" w:afterAutospacing="0" w:line="560" w:lineRule="exact"/>
        <w:jc w:val="center"/>
        <w:rPr>
          <w:rFonts w:ascii="仿宋_GB2312" w:hAnsi="仿宋_GB2312" w:eastAsia="仿宋_GB2312" w:cs="仿宋_GB2312"/>
          <w:color w:val="333333"/>
          <w:sz w:val="18"/>
          <w:szCs w:val="18"/>
          <w:shd w:val="clear" w:color="auto" w:fill="FFFFFF"/>
        </w:rPr>
      </w:pPr>
    </w:p>
    <w:p w14:paraId="71729A33">
      <w:pPr>
        <w:pStyle w:val="3"/>
        <w:widowControl/>
        <w:shd w:val="clear" w:color="auto" w:fill="FFFFFF"/>
        <w:spacing w:beforeAutospacing="0" w:after="86" w:afterAutospacing="0" w:line="560" w:lineRule="exact"/>
        <w:jc w:val="center"/>
        <w:rPr>
          <w:rFonts w:ascii="仿宋_GB2312" w:hAnsi="仿宋_GB2312" w:eastAsia="仿宋_GB2312" w:cs="仿宋_GB2312"/>
          <w:color w:val="333333"/>
          <w:sz w:val="18"/>
          <w:szCs w:val="18"/>
          <w:shd w:val="clear" w:color="auto" w:fill="FFFFFF"/>
        </w:rPr>
      </w:pPr>
    </w:p>
    <w:p w14:paraId="1E15A9E1">
      <w:pPr>
        <w:pStyle w:val="3"/>
        <w:widowControl/>
        <w:shd w:val="clear" w:color="auto" w:fill="FFFFFF"/>
        <w:spacing w:beforeAutospacing="0" w:after="86" w:afterAutospacing="0" w:line="560" w:lineRule="exact"/>
        <w:jc w:val="center"/>
        <w:rPr>
          <w:rFonts w:ascii="仿宋_GB2312" w:hAnsi="仿宋_GB2312" w:eastAsia="仿宋_GB2312" w:cs="仿宋_GB2312"/>
          <w:color w:val="333333"/>
          <w:sz w:val="18"/>
          <w:szCs w:val="18"/>
          <w:shd w:val="clear" w:color="auto" w:fill="FFFFFF"/>
        </w:rPr>
      </w:pPr>
    </w:p>
    <w:p w14:paraId="2629FBED">
      <w:pPr>
        <w:pStyle w:val="3"/>
        <w:widowControl/>
        <w:shd w:val="clear" w:color="auto" w:fill="FFFFFF"/>
        <w:spacing w:beforeAutospacing="0" w:after="86" w:afterAutospacing="0" w:line="560" w:lineRule="exact"/>
        <w:jc w:val="center"/>
        <w:rPr>
          <w:rFonts w:ascii="仿宋_GB2312" w:hAnsi="仿宋_GB2312" w:eastAsia="仿宋_GB2312" w:cs="仿宋_GB2312"/>
          <w:color w:val="333333"/>
          <w:sz w:val="18"/>
          <w:szCs w:val="18"/>
          <w:shd w:val="clear" w:color="auto" w:fill="FFFFFF"/>
        </w:rPr>
      </w:pPr>
    </w:p>
    <w:p w14:paraId="2226B63E">
      <w:pPr>
        <w:pStyle w:val="3"/>
        <w:widowControl/>
        <w:shd w:val="clear" w:color="auto" w:fill="FFFFFF"/>
        <w:spacing w:beforeAutospacing="0" w:after="86" w:afterAutospacing="0" w:line="560" w:lineRule="exact"/>
        <w:jc w:val="center"/>
        <w:rPr>
          <w:rFonts w:ascii="仿宋_GB2312" w:hAnsi="仿宋_GB2312" w:eastAsia="仿宋_GB2312" w:cs="仿宋_GB2312"/>
          <w:color w:val="333333"/>
          <w:sz w:val="18"/>
          <w:szCs w:val="18"/>
          <w:shd w:val="clear" w:color="auto" w:fill="FFFFFF"/>
        </w:rPr>
      </w:pPr>
    </w:p>
    <w:p w14:paraId="28F2C8B2">
      <w:pPr>
        <w:spacing w:line="560" w:lineRule="exact"/>
        <w:rPr>
          <w:rFonts w:hint="eastAsia" w:ascii="黑体" w:hAnsi="黑体" w:eastAsia="黑体" w:cs="仿宋_GB2312"/>
          <w:sz w:val="32"/>
          <w:szCs w:val="32"/>
        </w:rPr>
      </w:pPr>
    </w:p>
    <w:p w14:paraId="050A3001">
      <w:pPr>
        <w:spacing w:line="560" w:lineRule="exact"/>
        <w:rPr>
          <w:rFonts w:hint="eastAsia" w:ascii="黑体" w:hAnsi="黑体" w:eastAsia="黑体" w:cs="仿宋_GB2312"/>
          <w:sz w:val="32"/>
          <w:szCs w:val="32"/>
        </w:rPr>
      </w:pPr>
    </w:p>
    <w:p w14:paraId="6528F7F4">
      <w:pPr>
        <w:spacing w:line="560" w:lineRule="exact"/>
        <w:rPr>
          <w:rFonts w:ascii="黑体" w:hAnsi="黑体" w:eastAsia="黑体" w:cs="仿宋_GB2312"/>
          <w:sz w:val="32"/>
          <w:szCs w:val="32"/>
        </w:rPr>
      </w:pPr>
      <w:r>
        <w:rPr>
          <w:rFonts w:hint="eastAsia" w:ascii="黑体" w:hAnsi="黑体" w:eastAsia="黑体" w:cs="仿宋_GB2312"/>
          <w:sz w:val="32"/>
          <w:szCs w:val="32"/>
        </w:rPr>
        <w:t>单位名称（公章）：</w:t>
      </w:r>
    </w:p>
    <w:p w14:paraId="53401ABA">
      <w:pPr>
        <w:spacing w:line="560" w:lineRule="exact"/>
        <w:rPr>
          <w:rFonts w:ascii="黑体" w:hAnsi="黑体" w:eastAsia="黑体" w:cs="仿宋_GB2312"/>
          <w:sz w:val="32"/>
          <w:szCs w:val="32"/>
        </w:rPr>
      </w:pPr>
      <w:r>
        <w:rPr>
          <w:rFonts w:hint="eastAsia" w:ascii="黑体" w:hAnsi="黑体" w:eastAsia="黑体" w:cs="仿宋_GB2312"/>
          <w:sz w:val="32"/>
          <w:szCs w:val="32"/>
        </w:rPr>
        <w:t>联系人及联系方式：</w:t>
      </w:r>
    </w:p>
    <w:p w14:paraId="696C61A9">
      <w:pPr>
        <w:spacing w:line="560" w:lineRule="exact"/>
        <w:rPr>
          <w:rFonts w:ascii="仿宋_GB2312" w:hAnsi="仿宋_GB2312" w:eastAsia="仿宋_GB2312" w:cs="仿宋_GB2312"/>
          <w:sz w:val="32"/>
          <w:szCs w:val="32"/>
        </w:rPr>
      </w:pPr>
    </w:p>
    <w:p w14:paraId="20E124F8">
      <w:pPr>
        <w:spacing w:line="560" w:lineRule="exact"/>
        <w:ind w:left="-13" w:firstLine="640"/>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b/>
          <w:sz w:val="32"/>
          <w:szCs w:val="32"/>
        </w:rPr>
        <w:t>项目名称：新南园餐厅（科技孵化中心）学生用房配套设施采购项目</w:t>
      </w:r>
    </w:p>
    <w:p w14:paraId="1949E5B1">
      <w:pPr>
        <w:spacing w:line="560" w:lineRule="exact"/>
        <w:ind w:left="-13" w:firstLine="643"/>
        <w:rPr>
          <w:rFonts w:ascii="仿宋" w:hAnsi="仿宋" w:eastAsia="仿宋" w:cs="仿宋"/>
          <w:b/>
          <w:sz w:val="32"/>
          <w:szCs w:val="32"/>
        </w:rPr>
      </w:pPr>
      <w:r>
        <w:rPr>
          <w:rFonts w:hint="eastAsia" w:ascii="仿宋" w:hAnsi="仿宋" w:eastAsia="仿宋" w:cs="仿宋"/>
          <w:b/>
          <w:sz w:val="32"/>
          <w:szCs w:val="32"/>
        </w:rPr>
        <w:t>二、预算金额</w:t>
      </w:r>
      <w:r>
        <w:rPr>
          <w:rFonts w:hint="eastAsia" w:ascii="仿宋" w:hAnsi="仿宋" w:eastAsia="仿宋" w:cs="仿宋"/>
          <w:sz w:val="32"/>
          <w:szCs w:val="32"/>
        </w:rPr>
        <w:t>：</w:t>
      </w:r>
      <w:r>
        <w:rPr>
          <w:rFonts w:hint="eastAsia" w:ascii="仿宋" w:hAnsi="仿宋" w:eastAsia="仿宋" w:cs="仿宋"/>
          <w:color w:val="000000"/>
          <w:kern w:val="0"/>
          <w:sz w:val="31"/>
          <w:szCs w:val="31"/>
          <w:lang w:bidi="ar"/>
        </w:rPr>
        <w:t>314.4万元</w:t>
      </w:r>
      <w:r>
        <w:rPr>
          <w:rFonts w:hint="eastAsia" w:ascii="仿宋" w:hAnsi="仿宋" w:eastAsia="仿宋" w:cs="仿宋"/>
          <w:sz w:val="32"/>
          <w:szCs w:val="32"/>
        </w:rPr>
        <w:t xml:space="preserve"> </w:t>
      </w:r>
    </w:p>
    <w:p w14:paraId="2FE9BD20">
      <w:pPr>
        <w:spacing w:line="560" w:lineRule="exact"/>
        <w:ind w:left="-13" w:firstLine="643"/>
        <w:rPr>
          <w:rFonts w:ascii="仿宋" w:hAnsi="仿宋" w:eastAsia="仿宋" w:cs="仿宋"/>
          <w:b/>
          <w:sz w:val="32"/>
          <w:szCs w:val="32"/>
        </w:rPr>
      </w:pPr>
      <w:r>
        <w:rPr>
          <w:rFonts w:hint="eastAsia" w:ascii="仿宋" w:hAnsi="仿宋" w:eastAsia="仿宋" w:cs="仿宋"/>
          <w:b/>
          <w:sz w:val="32"/>
          <w:szCs w:val="32"/>
        </w:rPr>
        <w:t>三、项目概况：</w:t>
      </w:r>
    </w:p>
    <w:p w14:paraId="5F3CF993">
      <w:pPr>
        <w:pStyle w:val="4"/>
        <w:spacing w:line="560" w:lineRule="exact"/>
        <w:ind w:firstLine="560" w:firstLineChars="200"/>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学校新建新南园餐厅（科技孵化中心），采购学生用房配套设施，满足学生住宿需求，四人间273间，设计床型为上床下桌下柜，包含公寓椅，共1092套，。</w:t>
      </w:r>
    </w:p>
    <w:p w14:paraId="45E917BA">
      <w:pPr>
        <w:spacing w:line="560" w:lineRule="exact"/>
        <w:ind w:firstLine="560" w:firstLineChars="200"/>
        <w:rPr>
          <w:rFonts w:ascii="仿宋_GB2312" w:hAnsi="仿宋_GB2312" w:eastAsia="仿宋_GB2312" w:cs="仿宋_GB2312"/>
          <w:color w:val="333333"/>
          <w:kern w:val="0"/>
          <w:sz w:val="28"/>
          <w:szCs w:val="28"/>
          <w:shd w:val="clear" w:color="auto" w:fill="FFFFFF"/>
          <w:lang w:bidi="ar"/>
        </w:rPr>
      </w:pPr>
      <w:r>
        <w:rPr>
          <w:rFonts w:hint="eastAsia" w:ascii="方正仿宋_GB2312" w:hAnsi="方正仿宋_GB2312" w:eastAsia="方正仿宋_GB2312" w:cs="方正仿宋_GB2312"/>
          <w:b/>
          <w:sz w:val="28"/>
          <w:szCs w:val="28"/>
        </w:rPr>
        <w:t>（</w:t>
      </w:r>
      <w:r>
        <w:rPr>
          <w:rFonts w:hint="eastAsia" w:ascii="Cambria" w:hAnsi="Cambria" w:eastAsia="方正仿宋_GB2312" w:cs="Cambria"/>
          <w:b/>
          <w:sz w:val="28"/>
          <w:szCs w:val="28"/>
        </w:rPr>
        <w:t>一）供货及安装期限</w:t>
      </w:r>
      <w:r>
        <w:rPr>
          <w:rFonts w:hint="eastAsia" w:ascii="方正仿宋_GB2312" w:hAnsi="方正仿宋_GB2312" w:eastAsia="方正仿宋_GB2312" w:cs="方正仿宋_GB2312"/>
          <w:b/>
          <w:sz w:val="28"/>
          <w:szCs w:val="28"/>
        </w:rPr>
        <w:t>：</w:t>
      </w:r>
      <w:r>
        <w:rPr>
          <w:rFonts w:hint="eastAsia" w:ascii="仿宋_GB2312" w:hAnsi="仿宋_GB2312" w:eastAsia="仿宋_GB2312" w:cs="仿宋_GB2312"/>
          <w:color w:val="333333"/>
          <w:kern w:val="0"/>
          <w:sz w:val="28"/>
          <w:szCs w:val="28"/>
          <w:shd w:val="clear" w:color="auto" w:fill="FFFFFF"/>
          <w:lang w:bidi="ar"/>
        </w:rPr>
        <w:t>接采购人通知，30个日历天完成安装</w:t>
      </w:r>
    </w:p>
    <w:p w14:paraId="6DFA0DDD">
      <w:pPr>
        <w:spacing w:line="560" w:lineRule="exact"/>
        <w:ind w:firstLine="560" w:firstLineChars="200"/>
        <w:rPr>
          <w:rFonts w:ascii="仿宋_GB2312" w:hAnsi="仿宋_GB2312" w:eastAsia="仿宋_GB2312" w:cs="仿宋_GB2312"/>
          <w:color w:val="333333"/>
          <w:kern w:val="0"/>
          <w:sz w:val="28"/>
          <w:szCs w:val="28"/>
          <w:shd w:val="clear" w:color="auto" w:fill="FFFFFF"/>
          <w:lang w:bidi="ar"/>
        </w:rPr>
      </w:pPr>
      <w:bookmarkStart w:id="0" w:name="_Toc31309"/>
      <w:r>
        <w:rPr>
          <w:rFonts w:hint="eastAsia" w:ascii="方正仿宋_GB2312" w:hAnsi="方正仿宋_GB2312" w:eastAsia="方正仿宋_GB2312" w:cs="方正仿宋_GB2312"/>
          <w:b/>
          <w:sz w:val="28"/>
          <w:szCs w:val="28"/>
        </w:rPr>
        <w:t>（二）</w:t>
      </w:r>
      <w:bookmarkEnd w:id="0"/>
      <w:r>
        <w:rPr>
          <w:rFonts w:hint="eastAsia" w:ascii="方正仿宋_GB2312" w:hAnsi="方正仿宋_GB2312" w:eastAsia="方正仿宋_GB2312" w:cs="方正仿宋_GB2312"/>
          <w:b/>
          <w:sz w:val="28"/>
          <w:szCs w:val="28"/>
        </w:rPr>
        <w:t>包装和运输：</w:t>
      </w:r>
      <w:r>
        <w:rPr>
          <w:rFonts w:hint="eastAsia" w:ascii="仿宋_GB2312" w:hAnsi="仿宋_GB2312" w:eastAsia="仿宋_GB2312" w:cs="仿宋_GB2312"/>
          <w:color w:val="333333"/>
          <w:kern w:val="0"/>
          <w:sz w:val="28"/>
          <w:szCs w:val="28"/>
          <w:shd w:val="clear" w:color="auto" w:fill="FFFFFF"/>
          <w:lang w:bidi="ar"/>
        </w:rPr>
        <w:t>中标人负责包装及运输工作</w:t>
      </w:r>
    </w:p>
    <w:p w14:paraId="3E47EE4A">
      <w:pPr>
        <w:spacing w:line="560" w:lineRule="exact"/>
        <w:ind w:firstLine="560" w:firstLineChars="200"/>
        <w:rPr>
          <w:rFonts w:ascii="仿宋" w:hAnsi="仿宋" w:eastAsia="仿宋" w:cs="仿宋"/>
          <w:b/>
          <w:bCs/>
          <w:sz w:val="28"/>
          <w:szCs w:val="28"/>
        </w:rPr>
      </w:pPr>
      <w:r>
        <w:rPr>
          <w:rFonts w:hint="eastAsia" w:ascii="方正仿宋_GB2312" w:hAnsi="方正仿宋_GB2312" w:eastAsia="方正仿宋_GB2312" w:cs="方正仿宋_GB2312"/>
          <w:b/>
          <w:sz w:val="28"/>
          <w:szCs w:val="28"/>
        </w:rPr>
        <w:t>（三）资格要求：</w:t>
      </w:r>
      <w:r>
        <w:rPr>
          <w:rFonts w:hint="eastAsia" w:ascii="仿宋_GB2312" w:hAnsi="仿宋_GB2312" w:eastAsia="仿宋_GB2312" w:cs="仿宋_GB2312"/>
          <w:color w:val="333333"/>
          <w:kern w:val="0"/>
          <w:sz w:val="28"/>
          <w:szCs w:val="28"/>
          <w:shd w:val="clear" w:color="auto" w:fill="FFFFFF"/>
          <w:lang w:bidi="ar"/>
        </w:rPr>
        <w:t>符合《中华人民共和国政府采购法》第二十二条规定；投标人须为所投家具生产厂商或家具代理商；</w:t>
      </w:r>
    </w:p>
    <w:p w14:paraId="546A3670">
      <w:pPr>
        <w:spacing w:line="560" w:lineRule="exact"/>
        <w:ind w:left="630"/>
        <w:rPr>
          <w:rFonts w:ascii="仿宋_GB2312" w:hAnsi="仿宋_GB2312" w:eastAsia="仿宋_GB2312" w:cs="仿宋_GB2312"/>
          <w:color w:val="333333"/>
          <w:kern w:val="0"/>
          <w:sz w:val="28"/>
          <w:szCs w:val="28"/>
          <w:shd w:val="clear" w:color="auto" w:fill="FFFFFF"/>
          <w:lang w:bidi="ar"/>
        </w:rPr>
      </w:pPr>
      <w:r>
        <w:rPr>
          <w:rFonts w:hint="eastAsia" w:ascii="仿宋" w:hAnsi="仿宋" w:eastAsia="仿宋" w:cs="仿宋"/>
          <w:b/>
          <w:bCs/>
          <w:sz w:val="32"/>
          <w:szCs w:val="32"/>
        </w:rPr>
        <w:t>（</w:t>
      </w:r>
      <w:r>
        <w:rPr>
          <w:rFonts w:hint="eastAsia" w:ascii="方正仿宋_GB2312" w:hAnsi="方正仿宋_GB2312" w:eastAsia="方正仿宋_GB2312" w:cs="方正仿宋_GB2312"/>
          <w:b/>
          <w:sz w:val="28"/>
          <w:szCs w:val="28"/>
        </w:rPr>
        <w:t>四）付款条件（进度和方式）：</w:t>
      </w:r>
      <w:r>
        <w:rPr>
          <w:rFonts w:hint="eastAsia" w:ascii="仿宋_GB2312" w:hAnsi="仿宋_GB2312" w:eastAsia="仿宋_GB2312" w:cs="仿宋_GB2312"/>
          <w:color w:val="333333"/>
          <w:kern w:val="0"/>
          <w:sz w:val="28"/>
          <w:szCs w:val="28"/>
          <w:shd w:val="clear" w:color="auto" w:fill="FFFFFF"/>
          <w:lang w:bidi="ar"/>
        </w:rPr>
        <w:t>货物进场安装完成经验收合格后一次性付款</w:t>
      </w:r>
    </w:p>
    <w:p w14:paraId="7F1748B2">
      <w:pPr>
        <w:spacing w:line="560" w:lineRule="exact"/>
        <w:rPr>
          <w:rFonts w:ascii="仿宋" w:hAnsi="仿宋" w:eastAsia="仿宋" w:cs="仿宋"/>
          <w:b/>
          <w:bCs/>
          <w:sz w:val="32"/>
          <w:szCs w:val="32"/>
        </w:rPr>
      </w:pPr>
      <w:r>
        <w:rPr>
          <w:rFonts w:hint="eastAsia" w:ascii="仿宋" w:hAnsi="仿宋" w:eastAsia="仿宋" w:cs="仿宋"/>
          <w:b/>
          <w:sz w:val="32"/>
          <w:szCs w:val="32"/>
        </w:rPr>
        <w:t>四、技术参数等要求</w:t>
      </w:r>
      <w:r>
        <w:rPr>
          <w:rFonts w:hint="eastAsia" w:ascii="仿宋" w:hAnsi="仿宋" w:eastAsia="仿宋" w:cs="仿宋"/>
          <w:b/>
          <w:bCs/>
          <w:sz w:val="32"/>
          <w:szCs w:val="32"/>
        </w:rPr>
        <w:t>【各单位可以批注形式提出合理化建议各单位请根据本单位实际情况填写】</w:t>
      </w:r>
    </w:p>
    <w:p w14:paraId="1662EF45">
      <w:pPr>
        <w:spacing w:line="560" w:lineRule="exact"/>
        <w:ind w:left="630"/>
        <w:rPr>
          <w:rFonts w:ascii="方正仿宋_GB2312" w:hAnsi="方正仿宋_GB2312" w:eastAsia="方正仿宋_GB2312" w:cs="方正仿宋_GB2312"/>
          <w:b/>
          <w:sz w:val="28"/>
          <w:szCs w:val="28"/>
        </w:rPr>
      </w:pPr>
      <w:r>
        <w:rPr>
          <w:rFonts w:hint="eastAsia" w:ascii="仿宋" w:hAnsi="仿宋" w:eastAsia="仿宋" w:cs="仿宋"/>
          <w:b/>
          <w:bCs/>
          <w:sz w:val="32"/>
          <w:szCs w:val="32"/>
        </w:rPr>
        <w:t>（</w:t>
      </w:r>
      <w:r>
        <w:rPr>
          <w:rFonts w:hint="eastAsia" w:ascii="方正仿宋_GB2312" w:hAnsi="方正仿宋_GB2312" w:eastAsia="方正仿宋_GB2312" w:cs="方正仿宋_GB2312"/>
          <w:b/>
          <w:sz w:val="28"/>
          <w:szCs w:val="28"/>
        </w:rPr>
        <w:t>一）技术参数要求</w:t>
      </w:r>
    </w:p>
    <w:tbl>
      <w:tblPr>
        <w:tblStyle w:val="5"/>
        <w:tblW w:w="939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995"/>
        <w:gridCol w:w="940"/>
        <w:gridCol w:w="5235"/>
        <w:gridCol w:w="657"/>
      </w:tblGrid>
      <w:tr w14:paraId="23EB53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71" w:type="dxa"/>
            <w:vMerge w:val="restart"/>
            <w:tcBorders>
              <w:top w:val="single" w:color="auto" w:sz="4" w:space="0"/>
              <w:left w:val="single" w:color="auto" w:sz="4" w:space="0"/>
              <w:bottom w:val="single" w:color="auto" w:sz="4" w:space="0"/>
              <w:right w:val="single" w:color="auto" w:sz="4" w:space="0"/>
            </w:tcBorders>
            <w:vAlign w:val="center"/>
          </w:tcPr>
          <w:p w14:paraId="4C4A8285">
            <w:pPr>
              <w:spacing w:line="560" w:lineRule="exact"/>
              <w:jc w:val="center"/>
              <w:rPr>
                <w:rFonts w:ascii="宋体" w:hAnsi="宋体" w:eastAsia="宋体" w:cs="宋体"/>
                <w:b/>
                <w:sz w:val="24"/>
                <w:lang w:bidi="ar"/>
              </w:rPr>
            </w:pPr>
            <w:r>
              <w:rPr>
                <w:rFonts w:hint="eastAsia" w:ascii="宋体" w:hAnsi="宋体" w:eastAsia="宋体" w:cs="宋体"/>
                <w:b/>
                <w:sz w:val="24"/>
                <w:lang w:bidi="ar"/>
              </w:rPr>
              <w:t>主要技术要求</w:t>
            </w:r>
          </w:p>
          <w:p w14:paraId="07CDF989">
            <w:pPr>
              <w:spacing w:line="560" w:lineRule="exact"/>
              <w:jc w:val="center"/>
              <w:rPr>
                <w:rFonts w:ascii="宋体" w:hAnsi="宋体" w:eastAsia="宋体" w:cs="宋体"/>
                <w:sz w:val="24"/>
                <w:szCs w:val="20"/>
              </w:rPr>
            </w:pPr>
            <w:r>
              <w:rPr>
                <w:rFonts w:hint="eastAsia" w:ascii="宋体" w:hAnsi="宋体" w:eastAsia="宋体" w:cs="宋体"/>
                <w:bCs/>
                <w:sz w:val="24"/>
                <w:lang w:bidi="ar"/>
              </w:rPr>
              <w:t>（</w:t>
            </w:r>
            <w:r>
              <w:rPr>
                <w:rFonts w:hint="eastAsia" w:ascii="宋体" w:hAnsi="宋体" w:eastAsia="宋体" w:cs="宋体"/>
                <w:bCs/>
                <w:sz w:val="24"/>
              </w:rPr>
              <w:t>性能、材料、结构、外观、质量、安全、技术规格、物理特性等要求</w:t>
            </w:r>
            <w:r>
              <w:rPr>
                <w:rFonts w:hint="eastAsia" w:ascii="宋体" w:hAnsi="宋体" w:eastAsia="宋体" w:cs="宋体"/>
                <w:bCs/>
                <w:sz w:val="24"/>
                <w:lang w:bidi="ar"/>
              </w:rPr>
              <w:t>）</w:t>
            </w:r>
          </w:p>
        </w:tc>
        <w:tc>
          <w:tcPr>
            <w:tcW w:w="7827" w:type="dxa"/>
            <w:gridSpan w:val="4"/>
            <w:tcBorders>
              <w:top w:val="single" w:color="auto" w:sz="4" w:space="0"/>
              <w:left w:val="single" w:color="auto" w:sz="4" w:space="0"/>
              <w:bottom w:val="single" w:color="auto" w:sz="4" w:space="0"/>
              <w:right w:val="single" w:color="auto" w:sz="4" w:space="0"/>
            </w:tcBorders>
            <w:vAlign w:val="center"/>
          </w:tcPr>
          <w:p w14:paraId="1FF62F12">
            <w:pPr>
              <w:tabs>
                <w:tab w:val="left" w:pos="1869"/>
              </w:tabs>
              <w:spacing w:line="560" w:lineRule="exact"/>
              <w:jc w:val="left"/>
              <w:rPr>
                <w:rFonts w:ascii="宋体" w:hAnsi="宋体" w:eastAsia="宋体" w:cs="宋体"/>
                <w:b/>
                <w:sz w:val="24"/>
                <w:lang w:bidi="ar"/>
              </w:rPr>
            </w:pPr>
            <w:r>
              <w:rPr>
                <w:rFonts w:hint="eastAsia" w:ascii="宋体" w:hAnsi="宋体" w:eastAsia="宋体" w:cs="宋体"/>
                <w:b/>
                <w:sz w:val="24"/>
                <w:lang w:bidi="ar"/>
              </w:rPr>
              <w:t>包别名称：</w:t>
            </w:r>
          </w:p>
        </w:tc>
      </w:tr>
      <w:tr w14:paraId="7D23D3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71" w:type="dxa"/>
            <w:vMerge w:val="continue"/>
            <w:tcBorders>
              <w:top w:val="single" w:color="auto" w:sz="4" w:space="0"/>
              <w:left w:val="single" w:color="auto" w:sz="4" w:space="0"/>
              <w:bottom w:val="single" w:color="auto" w:sz="4" w:space="0"/>
              <w:right w:val="single" w:color="auto" w:sz="4" w:space="0"/>
            </w:tcBorders>
            <w:vAlign w:val="center"/>
          </w:tcPr>
          <w:p w14:paraId="107BD96B">
            <w:pPr>
              <w:spacing w:line="560" w:lineRule="exact"/>
              <w:jc w:val="center"/>
              <w:rPr>
                <w:rFonts w:ascii="宋体" w:hAnsi="宋体" w:eastAsia="宋体" w:cs="宋体"/>
                <w:b/>
                <w:sz w:val="28"/>
                <w:szCs w:val="20"/>
                <w:lang w:bidi="ar"/>
              </w:rPr>
            </w:pPr>
          </w:p>
        </w:tc>
        <w:tc>
          <w:tcPr>
            <w:tcW w:w="995" w:type="dxa"/>
            <w:tcBorders>
              <w:top w:val="single" w:color="auto" w:sz="4" w:space="0"/>
              <w:left w:val="single" w:color="auto" w:sz="4" w:space="0"/>
              <w:bottom w:val="single" w:color="auto" w:sz="4" w:space="0"/>
              <w:right w:val="single" w:color="auto" w:sz="4" w:space="0"/>
            </w:tcBorders>
            <w:vAlign w:val="center"/>
          </w:tcPr>
          <w:p w14:paraId="16170127">
            <w:pPr>
              <w:spacing w:line="560" w:lineRule="exact"/>
              <w:jc w:val="center"/>
              <w:rPr>
                <w:rFonts w:ascii="宋体" w:hAnsi="宋体" w:eastAsia="宋体" w:cs="宋体"/>
                <w:b/>
                <w:sz w:val="24"/>
              </w:rPr>
            </w:pPr>
            <w:r>
              <w:rPr>
                <w:rFonts w:hint="eastAsia" w:ascii="宋体" w:hAnsi="宋体" w:eastAsia="宋体" w:cs="宋体"/>
                <w:b/>
                <w:sz w:val="24"/>
                <w:lang w:bidi="ar"/>
              </w:rPr>
              <w:t>序号</w:t>
            </w:r>
          </w:p>
        </w:tc>
        <w:tc>
          <w:tcPr>
            <w:tcW w:w="940" w:type="dxa"/>
            <w:tcBorders>
              <w:top w:val="single" w:color="auto" w:sz="4" w:space="0"/>
              <w:left w:val="single" w:color="auto" w:sz="4" w:space="0"/>
              <w:bottom w:val="single" w:color="auto" w:sz="4" w:space="0"/>
              <w:right w:val="single" w:color="auto" w:sz="4" w:space="0"/>
            </w:tcBorders>
            <w:vAlign w:val="center"/>
          </w:tcPr>
          <w:p w14:paraId="6DF2036A">
            <w:pPr>
              <w:spacing w:line="560" w:lineRule="exact"/>
              <w:jc w:val="center"/>
              <w:rPr>
                <w:rFonts w:ascii="宋体" w:hAnsi="宋体" w:eastAsia="宋体" w:cs="宋体"/>
                <w:b/>
                <w:sz w:val="24"/>
              </w:rPr>
            </w:pPr>
            <w:r>
              <w:rPr>
                <w:rFonts w:hint="eastAsia" w:ascii="宋体" w:hAnsi="宋体" w:eastAsia="宋体" w:cs="宋体"/>
                <w:b/>
                <w:sz w:val="24"/>
                <w:lang w:bidi="ar"/>
              </w:rPr>
              <w:t>名 称</w:t>
            </w:r>
          </w:p>
        </w:tc>
        <w:tc>
          <w:tcPr>
            <w:tcW w:w="5235" w:type="dxa"/>
            <w:tcBorders>
              <w:top w:val="single" w:color="auto" w:sz="4" w:space="0"/>
              <w:left w:val="single" w:color="auto" w:sz="4" w:space="0"/>
              <w:bottom w:val="single" w:color="auto" w:sz="4" w:space="0"/>
              <w:right w:val="single" w:color="auto" w:sz="4" w:space="0"/>
            </w:tcBorders>
            <w:vAlign w:val="center"/>
          </w:tcPr>
          <w:p w14:paraId="5D9A0F45">
            <w:pPr>
              <w:spacing w:line="560" w:lineRule="exact"/>
              <w:jc w:val="center"/>
              <w:rPr>
                <w:rFonts w:ascii="宋体" w:hAnsi="宋体" w:eastAsia="宋体" w:cs="宋体"/>
                <w:b/>
                <w:sz w:val="24"/>
              </w:rPr>
            </w:pPr>
            <w:r>
              <w:rPr>
                <w:rFonts w:hint="eastAsia" w:ascii="宋体" w:hAnsi="宋体" w:eastAsia="宋体" w:cs="宋体"/>
                <w:b/>
                <w:sz w:val="24"/>
                <w:lang w:bidi="ar"/>
              </w:rPr>
              <w:t>技术要求</w:t>
            </w:r>
          </w:p>
        </w:tc>
        <w:tc>
          <w:tcPr>
            <w:tcW w:w="657" w:type="dxa"/>
            <w:tcBorders>
              <w:top w:val="single" w:color="auto" w:sz="4" w:space="0"/>
              <w:left w:val="single" w:color="auto" w:sz="4" w:space="0"/>
              <w:bottom w:val="single" w:color="auto" w:sz="4" w:space="0"/>
              <w:right w:val="single" w:color="auto" w:sz="4" w:space="0"/>
            </w:tcBorders>
            <w:vAlign w:val="center"/>
          </w:tcPr>
          <w:p w14:paraId="493371D4">
            <w:pPr>
              <w:spacing w:line="560" w:lineRule="exact"/>
              <w:jc w:val="center"/>
              <w:rPr>
                <w:rFonts w:ascii="宋体" w:hAnsi="宋体" w:eastAsia="宋体" w:cs="宋体"/>
                <w:b/>
                <w:sz w:val="24"/>
                <w:lang w:bidi="ar"/>
              </w:rPr>
            </w:pPr>
            <w:r>
              <w:rPr>
                <w:rFonts w:hint="eastAsia" w:ascii="宋体" w:hAnsi="宋体" w:eastAsia="宋体" w:cs="宋体"/>
                <w:b/>
                <w:sz w:val="24"/>
                <w:lang w:bidi="ar"/>
              </w:rPr>
              <w:t>数量</w:t>
            </w:r>
          </w:p>
        </w:tc>
      </w:tr>
      <w:tr w14:paraId="2691F2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71" w:type="dxa"/>
            <w:vMerge w:val="continue"/>
            <w:tcBorders>
              <w:top w:val="single" w:color="auto" w:sz="4" w:space="0"/>
              <w:left w:val="single" w:color="auto" w:sz="4" w:space="0"/>
              <w:right w:val="single" w:color="auto" w:sz="4" w:space="0"/>
            </w:tcBorders>
            <w:vAlign w:val="center"/>
          </w:tcPr>
          <w:p w14:paraId="1D58D5A0">
            <w:pPr>
              <w:spacing w:line="560" w:lineRule="exact"/>
              <w:jc w:val="center"/>
              <w:rPr>
                <w:rFonts w:ascii="宋体" w:hAnsi="宋体" w:eastAsia="宋体" w:cs="宋体"/>
                <w:sz w:val="24"/>
                <w:szCs w:val="20"/>
              </w:rPr>
            </w:pPr>
          </w:p>
        </w:tc>
        <w:tc>
          <w:tcPr>
            <w:tcW w:w="995" w:type="dxa"/>
            <w:tcBorders>
              <w:top w:val="single" w:color="auto" w:sz="4" w:space="0"/>
              <w:left w:val="single" w:color="auto" w:sz="4" w:space="0"/>
              <w:bottom w:val="single" w:color="auto" w:sz="4" w:space="0"/>
              <w:right w:val="single" w:color="auto" w:sz="4" w:space="0"/>
            </w:tcBorders>
            <w:vAlign w:val="center"/>
          </w:tcPr>
          <w:p w14:paraId="05C40AE8">
            <w:pPr>
              <w:autoSpaceDE w:val="0"/>
              <w:autoSpaceDN w:val="0"/>
              <w:adjustRightInd w:val="0"/>
              <w:spacing w:line="560" w:lineRule="exact"/>
              <w:jc w:val="center"/>
              <w:rPr>
                <w:rFonts w:ascii="宋体" w:hAnsi="宋体" w:eastAsia="宋体" w:cs="宋体"/>
                <w:szCs w:val="21"/>
              </w:rPr>
            </w:pPr>
            <w:r>
              <w:rPr>
                <w:rFonts w:hint="eastAsia" w:ascii="宋体" w:hAnsi="宋体" w:eastAsia="宋体" w:cs="宋体"/>
                <w:szCs w:val="21"/>
                <w:lang w:bidi="ar"/>
              </w:rPr>
              <w:t>1</w:t>
            </w:r>
          </w:p>
        </w:tc>
        <w:tc>
          <w:tcPr>
            <w:tcW w:w="940" w:type="dxa"/>
            <w:tcBorders>
              <w:top w:val="single" w:color="auto" w:sz="4" w:space="0"/>
              <w:left w:val="single" w:color="auto" w:sz="4" w:space="0"/>
              <w:bottom w:val="single" w:color="auto" w:sz="4" w:space="0"/>
              <w:right w:val="single" w:color="auto" w:sz="4" w:space="0"/>
            </w:tcBorders>
          </w:tcPr>
          <w:p w14:paraId="25FC23BA">
            <w:pPr>
              <w:spacing w:line="560" w:lineRule="exact"/>
              <w:rPr>
                <w:rFonts w:ascii="宋体" w:hAnsi="宋体" w:eastAsia="宋体" w:cs="宋体"/>
                <w:sz w:val="24"/>
              </w:rPr>
            </w:pPr>
            <w:r>
              <w:rPr>
                <w:rFonts w:hint="eastAsia" w:ascii="宋体" w:hAnsi="宋体" w:eastAsia="宋体" w:cs="宋体"/>
                <w:szCs w:val="21"/>
                <w:lang w:bidi="ar"/>
              </w:rPr>
              <w:t>▲</w:t>
            </w:r>
            <w:r>
              <w:rPr>
                <w:rFonts w:hint="eastAsia" w:ascii="宋体" w:hAnsi="宋体" w:eastAsia="宋体" w:cs="宋体"/>
                <w:sz w:val="24"/>
              </w:rPr>
              <w:t>两联两位外挂爬梯公寓床</w:t>
            </w:r>
          </w:p>
          <w:p w14:paraId="5B5F15AD">
            <w:pPr>
              <w:autoSpaceDE w:val="0"/>
              <w:autoSpaceDN w:val="0"/>
              <w:adjustRightInd w:val="0"/>
              <w:spacing w:line="560" w:lineRule="exact"/>
              <w:jc w:val="left"/>
              <w:rPr>
                <w:rFonts w:ascii="宋体" w:hAnsi="宋体" w:eastAsia="宋体" w:cs="宋体"/>
                <w:szCs w:val="21"/>
              </w:rPr>
            </w:pPr>
          </w:p>
        </w:tc>
        <w:tc>
          <w:tcPr>
            <w:tcW w:w="5235" w:type="dxa"/>
            <w:tcBorders>
              <w:top w:val="single" w:color="auto" w:sz="4" w:space="0"/>
              <w:left w:val="single" w:color="auto" w:sz="4" w:space="0"/>
              <w:bottom w:val="single" w:color="auto" w:sz="4" w:space="0"/>
              <w:right w:val="single" w:color="auto" w:sz="4" w:space="0"/>
            </w:tcBorders>
            <w:vAlign w:val="center"/>
          </w:tcPr>
          <w:p w14:paraId="4A10086A">
            <w:pPr>
              <w:autoSpaceDE w:val="0"/>
              <w:autoSpaceDN w:val="0"/>
              <w:adjustRightInd w:val="0"/>
              <w:spacing w:line="560" w:lineRule="exact"/>
              <w:ind w:firstLine="105" w:firstLineChars="50"/>
              <w:jc w:val="left"/>
              <w:rPr>
                <w:rFonts w:ascii="宋体" w:hAnsi="宋体" w:eastAsia="宋体" w:cs="宋体"/>
                <w:szCs w:val="21"/>
              </w:rPr>
            </w:pPr>
            <w:r>
              <w:rPr>
                <w:rFonts w:hint="eastAsia" w:ascii="宋体" w:hAnsi="宋体" w:eastAsia="宋体" w:cs="宋体"/>
                <w:szCs w:val="21"/>
                <w:lang w:bidi="ar"/>
              </w:rPr>
              <w:t>一、技术要求</w:t>
            </w:r>
          </w:p>
          <w:p w14:paraId="1CCDE92E">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整体规格：≥4000mm</w:t>
            </w:r>
            <w:r>
              <w:rPr>
                <w:rFonts w:hint="eastAsia" w:ascii="宋体" w:hAnsi="宋体" w:cs="宋体"/>
                <w:sz w:val="24"/>
              </w:rPr>
              <w:t>×</w:t>
            </w:r>
            <w:r>
              <w:rPr>
                <w:rFonts w:hint="eastAsia" w:ascii="宋体" w:hAnsi="宋体" w:eastAsia="宋体" w:cs="宋体"/>
                <w:sz w:val="24"/>
              </w:rPr>
              <w:t>900mm</w:t>
            </w:r>
            <w:r>
              <w:rPr>
                <w:rFonts w:hint="eastAsia" w:ascii="宋体" w:hAnsi="宋体" w:cs="宋体"/>
                <w:sz w:val="24"/>
              </w:rPr>
              <w:t>×</w:t>
            </w:r>
            <w:r>
              <w:rPr>
                <w:rFonts w:hint="eastAsia" w:ascii="宋体" w:hAnsi="宋体" w:eastAsia="宋体" w:cs="宋体"/>
                <w:sz w:val="24"/>
              </w:rPr>
              <w:t>2100mm/2900mm（ 2100 mm为床的高度， 2900mm为加上蚊帐杆的高度）（具体尺寸以实际测量为准）</w:t>
            </w:r>
          </w:p>
          <w:p w14:paraId="55E38F8D">
            <w:pPr>
              <w:autoSpaceDE w:val="0"/>
              <w:autoSpaceDN w:val="0"/>
              <w:adjustRightInd w:val="0"/>
              <w:spacing w:line="560" w:lineRule="exact"/>
              <w:ind w:firstLine="105" w:firstLineChars="50"/>
              <w:jc w:val="left"/>
              <w:rPr>
                <w:rFonts w:ascii="宋体" w:hAnsi="宋体" w:eastAsia="宋体" w:cs="宋体"/>
                <w:sz w:val="24"/>
              </w:rPr>
            </w:pPr>
            <w:r>
              <w:rPr>
                <w:rFonts w:hint="eastAsia" w:ascii="宋体" w:hAnsi="宋体" w:eastAsia="宋体" w:cs="宋体"/>
                <w:szCs w:val="21"/>
                <w:lang w:bidi="ar"/>
              </w:rPr>
              <w:t>1、</w:t>
            </w:r>
            <w:r>
              <w:rPr>
                <w:rFonts w:hint="eastAsia" w:ascii="宋体" w:hAnsi="宋体" w:eastAsia="宋体" w:cs="宋体"/>
                <w:sz w:val="24"/>
              </w:rPr>
              <w:t>材质参数：床架部分材质</w:t>
            </w:r>
          </w:p>
          <w:p w14:paraId="56DF3A0D">
            <w:pPr>
              <w:autoSpaceDE w:val="0"/>
              <w:autoSpaceDN w:val="0"/>
              <w:adjustRightInd w:val="0"/>
              <w:spacing w:line="360" w:lineRule="auto"/>
              <w:ind w:firstLine="120" w:firstLineChars="50"/>
              <w:jc w:val="left"/>
              <w:rPr>
                <w:rFonts w:ascii="宋体" w:hAnsi="宋体" w:cs="宋体"/>
                <w:sz w:val="24"/>
                <w:lang w:val="zh-CN"/>
              </w:rPr>
            </w:pPr>
            <w:r>
              <w:rPr>
                <w:rFonts w:hint="eastAsia" w:ascii="宋体" w:hAnsi="宋体" w:cs="宋体"/>
                <w:sz w:val="24"/>
              </w:rPr>
              <w:t>●</w:t>
            </w:r>
            <w:r>
              <w:rPr>
                <w:rFonts w:hint="eastAsia" w:ascii="宋体" w:hAnsi="宋体" w:cs="宋体"/>
                <w:b/>
                <w:bCs/>
                <w:sz w:val="24"/>
              </w:rPr>
              <w:t>1.1、床边前立柱：</w:t>
            </w:r>
            <w:r>
              <w:rPr>
                <w:rFonts w:hint="eastAsia" w:ascii="宋体" w:hAnsi="宋体" w:cs="宋体"/>
                <w:sz w:val="24"/>
                <w:lang w:val="zh-CN"/>
              </w:rPr>
              <w:t>采用优质冷轧钢板经模压并经高频焊接一次成型为中空异形</w:t>
            </w:r>
            <w:r>
              <w:rPr>
                <w:rFonts w:hint="eastAsia" w:ascii="宋体" w:hAnsi="宋体" w:cs="宋体"/>
                <w:sz w:val="24"/>
              </w:rPr>
              <w:t>钢</w:t>
            </w:r>
            <w:r>
              <w:rPr>
                <w:rFonts w:hint="eastAsia" w:ascii="宋体" w:hAnsi="宋体" w:cs="宋体"/>
                <w:sz w:val="24"/>
                <w:lang w:val="zh-CN"/>
              </w:rPr>
              <w:t>管。外形规格</w:t>
            </w:r>
            <w:r>
              <w:rPr>
                <w:rFonts w:hint="eastAsia" w:ascii="宋体" w:hAnsi="宋体" w:cs="宋体"/>
                <w:sz w:val="24"/>
              </w:rPr>
              <w:t>≥</w:t>
            </w:r>
            <w:r>
              <w:rPr>
                <w:rFonts w:hint="eastAsia" w:ascii="宋体" w:hAnsi="宋体" w:cs="宋体"/>
                <w:sz w:val="24"/>
                <w:lang w:val="zh-CN"/>
              </w:rPr>
              <w:t>7</w:t>
            </w:r>
            <w:r>
              <w:rPr>
                <w:rFonts w:hint="eastAsia" w:ascii="宋体" w:hAnsi="宋体" w:cs="宋体"/>
                <w:sz w:val="24"/>
              </w:rPr>
              <w:t>8</w:t>
            </w:r>
            <w:r>
              <w:rPr>
                <w:rFonts w:hint="eastAsia" w:ascii="宋体" w:hAnsi="宋体" w:cs="宋体"/>
                <w:sz w:val="24"/>
                <w:lang w:val="zh-CN"/>
              </w:rPr>
              <w:t>mm×7</w:t>
            </w:r>
            <w:r>
              <w:rPr>
                <w:rFonts w:hint="eastAsia" w:ascii="宋体" w:hAnsi="宋体" w:cs="宋体"/>
                <w:sz w:val="24"/>
              </w:rPr>
              <w:t>8</w:t>
            </w:r>
            <w:r>
              <w:rPr>
                <w:rFonts w:hint="eastAsia" w:ascii="宋体" w:hAnsi="宋体" w:cs="宋体"/>
                <w:sz w:val="24"/>
                <w:lang w:val="zh-CN"/>
              </w:rPr>
              <w:t>mm×1.5mm ，管材整体周长</w:t>
            </w:r>
            <w:r>
              <w:rPr>
                <w:rFonts w:hint="eastAsia" w:ascii="宋体" w:hAnsi="宋体" w:cs="宋体"/>
                <w:sz w:val="24"/>
              </w:rPr>
              <w:t>≥</w:t>
            </w:r>
            <w:r>
              <w:rPr>
                <w:rFonts w:hint="eastAsia" w:ascii="宋体" w:hAnsi="宋体" w:cs="宋体"/>
                <w:sz w:val="24"/>
                <w:lang w:val="zh-CN"/>
              </w:rPr>
              <w:t>2</w:t>
            </w:r>
            <w:r>
              <w:rPr>
                <w:rFonts w:hint="eastAsia" w:ascii="宋体" w:hAnsi="宋体" w:cs="宋体"/>
                <w:sz w:val="24"/>
              </w:rPr>
              <w:t>78</w:t>
            </w:r>
            <w:r>
              <w:rPr>
                <w:rFonts w:hint="eastAsia" w:ascii="宋体" w:hAnsi="宋体" w:cs="宋体"/>
                <w:sz w:val="24"/>
                <w:lang w:val="zh-CN"/>
              </w:rPr>
              <w:t>mm，正面外侧为大圆弧形设计，弧面要求连续</w:t>
            </w:r>
            <w:r>
              <w:rPr>
                <w:rFonts w:hint="eastAsia" w:ascii="宋体" w:hAnsi="宋体" w:cs="宋体"/>
                <w:sz w:val="24"/>
              </w:rPr>
              <w:t>且不能有凹凸</w:t>
            </w:r>
            <w:r>
              <w:rPr>
                <w:rFonts w:hint="eastAsia" w:ascii="宋体" w:hAnsi="宋体" w:cs="宋体"/>
                <w:sz w:val="24"/>
                <w:lang w:val="zh-CN"/>
              </w:rPr>
              <w:t>；床立柱内侧为不低于5个</w:t>
            </w:r>
            <w:r>
              <w:rPr>
                <w:rFonts w:hint="eastAsia" w:ascii="宋体" w:hAnsi="宋体" w:cs="宋体"/>
                <w:sz w:val="24"/>
              </w:rPr>
              <w:t>转</w:t>
            </w:r>
            <w:r>
              <w:rPr>
                <w:rFonts w:hint="eastAsia" w:ascii="宋体" w:hAnsi="宋体" w:cs="宋体"/>
                <w:sz w:val="24"/>
                <w:lang w:val="zh-CN"/>
              </w:rPr>
              <w:t>角，下端为外脚套并带有防滑设计，上端为</w:t>
            </w:r>
            <w:r>
              <w:rPr>
                <w:rFonts w:hint="eastAsia" w:ascii="宋体" w:hAnsi="宋体" w:cs="宋体"/>
                <w:sz w:val="24"/>
              </w:rPr>
              <w:t>外脚套</w:t>
            </w:r>
            <w:r>
              <w:rPr>
                <w:rFonts w:hint="eastAsia" w:ascii="宋体" w:hAnsi="宋体" w:cs="宋体"/>
                <w:sz w:val="24"/>
                <w:lang w:val="zh-CN"/>
              </w:rPr>
              <w:t>，上下脚套采用优质塑胶一次注塑成型（不允许3D打印）。</w:t>
            </w:r>
          </w:p>
          <w:p w14:paraId="39C42BCB">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●1.2、床边后立柱：采用优质冷轧钢板经模压并经高频焊接一次成型为中空异形钢管。外形规格≥68mm×68mm×1.5mm ，管材整体周长≥268mm，正面外侧为直角，转角处做小圆弧形设计；床立柱内侧为不低于5个转角，下端为外脚套并带有防滑设计，上端为外脚套，上下脚套采用优质塑胶一次注塑成型（不允许3D打印）。</w:t>
            </w:r>
          </w:p>
          <w:p w14:paraId="35D0E902">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●1.3、床中前立柱：采用优质冷轧钢板经模压并采用高频焊接一次成型为异形中空封口管材。</w:t>
            </w:r>
          </w:p>
          <w:p w14:paraId="2A87B889">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外形规格≥97mm×66mm×1.5mm ，管材整体周长≥293mm，立柱外正面需为大面积弧形设计，内角为多个规则直角，床立柱脚套采用优质塑胶一次注塑成型（不允许3D打印），下端为外脚套并带有防滑设计，上端封铁片。</w:t>
            </w:r>
          </w:p>
          <w:p w14:paraId="33BF2C33">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●1.4、床中后立柱：采用优质冷轧钢板经模压并采用高频焊接一次成型为异形中空封口管材。</w:t>
            </w:r>
          </w:p>
          <w:p w14:paraId="480F5E7E">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外形规格≥97mm×48mm×1.5mm ，管材整体周长≥290mm；立柱外正面为直角，直角尖处做圆弧设计，内角为多个规则直角，床立柱脚套采用优质塑胶一次注塑成型（不允许3D打印），下端为外脚套并带有防滑设计；上端为可调节内塞脚套并外包≥8mm高度，具备蚊帐架高度可调功能。</w:t>
            </w:r>
          </w:p>
          <w:p w14:paraId="10A8E9EF">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●1.5、床长横梁：采用优质冷轧钢板经模压并经高频焊接一次成型中空矩形封闭管。外形规格≥100mm×30mm×1.2mm ；管材正面不少于2条加强筋，加强筋中间带有规则模压纹路（纹路须为模压一次成型），所有转角处均需为半圆弧形（弧度≥R4）设计，不得出现直角，起到防碰撞作用不易伤人。</w:t>
            </w:r>
          </w:p>
          <w:p w14:paraId="3B23275A">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●1.6、床短横梁：采用优质冷轧钢板经模压并经高频焊接一次成型中空异形封闭管。外形规格≥80mm×42mm×1.2mm ；管材正面带有三条内凹加强筋；上下两面带有规则模压纹路（须为模压一次成型）；起到抗扭作用。</w:t>
            </w:r>
          </w:p>
          <w:p w14:paraId="4EA98402">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●1.7、床支撑：采用冷轧钢板经模压并经高频焊接一次成型闭口异形钢管；立面成型尺寸为≥26mm×42mm×1.2mm ；管材三面共具有不少于5条内凹加强筋，底部带有凹凸花纹（须为模压一次成型）。由≥5根均匀摆放，连接方式必须采用与床横梁卡槽连为一体）。</w:t>
            </w:r>
          </w:p>
          <w:p w14:paraId="583A122C">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1.8.床前护栏：外形规格≥1450mm×350mm×18mm，护栏位于床厅的上方;基材采用E0级中密度饰面板,板材采用整条木板厚度≥18mm;四周整体一次成型PP塑料注塑嵌边，采用大型注塑设备整体一次成型，底侧共设计4处与床架插管连接，钢管规格：≥35mm×16mm×1.6椭圆管，插管深度不低于195mm确保护栏强度与刚性且四周无任何接缝。</w:t>
            </w:r>
          </w:p>
          <w:p w14:paraId="46D80CD5">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1.9.边床头护栏：外形规格≥760*350mm，护栏上横管采用≥25mm×25mm×1.2mm D形管；竖管采用≥20mm×20mm×1.0mm方管；竖管≥2根设置，护栏底部设置挡絮板，以防床上物品掉落，板材采用≥18mmE0级实木双饰面颗粒板制作。</w:t>
            </w:r>
          </w:p>
          <w:p w14:paraId="697121F7">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1.10、中床头护栏：横管采用方管≥25mm×25mm×1.2mm，经数控弯曲成型，竖管采用方管≥20mm×20mm×1.0mm，护栏底部设置挡絮板，板材采用≥18mmE0级实木双饰面颗粒板制作</w:t>
            </w:r>
          </w:p>
          <w:p w14:paraId="3430F1B9">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1.11.爬梯：爬梯立柱管采用优质冷轧钢带经模压并采用高频焊接一次成形≥20mm×40mm×1.5mm椭圆管，爬梯踏板尺寸≥415mm×128mm，钢板厚≥1.5mm，采用优质冷轧钢板冲压成型；踩板前后折边，折边不得焊接，折边高度≥20mm，踏板前部为双拱形并带有冲压防滑纹，上面加装ABS工程塑料所制的内嵌式带夜光防滑塑料板，内嵌式夜光防滑塑料板具备≥6个与踏板固定卡扣栓，防滑塑料板尺寸≥长365mm×宽59mm，板厚度≥3mm。爬梯脚套为优质注塑一次成型塑胶外脚套，塑料件采用ABS工程塑料体注塑成型，起到良好的防滑及防潮作用（不允许采用3D打印）。</w:t>
            </w:r>
          </w:p>
          <w:p w14:paraId="54B61CC0">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1.12.下短拉条：采用冷轧钢板经模压并经高频焊接一次成型为异形中空封口管材；立面成型尺寸为≥42mm×20mm×1.0mm；所有转角处均需为半圆鼓起弧形（弧度≥R3）设计，两侧带有凹凸花纹（须为模压一次成型），不得出现直角，起到防碰撞作用。</w:t>
            </w:r>
          </w:p>
          <w:p w14:paraId="6979C3B8">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1.13.床挂件：采用优质钢板经冲压一次成型，挂件形状与立柱完全吻合，外形规格≥26mm×26mm×197mm，材料厚度≥2.0mm；连接扣点采用不小于3个卡扣连接，床横梁与床立柱连接方式：卡扣式连接（无需螺栓），立柱上3个连接孔，通过与卡式连接件无缝式下压连接，实现使用后越用越紧的状态。</w:t>
            </w:r>
          </w:p>
          <w:p w14:paraId="7F565F1A">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1.14.床板：采用双面刨光厚度≥15mm全新杉木板，杉木铺板≤8块，板间缝隙≤5mm，规格按铁床实际空间制作；床板档≥25mm×35mm木方4根。整体床板无板皮、无发霉、蛀孔、无烂疤、裂缝等影响质量的缺陷，制作牢固可靠。投标文件中提供带有“CMA及CNAS”标识的防虫床板检验检测报告扫描件及全国认证认可信息公共服务平台官网的查询截图，检验依据至少包含：QB/T 4371-2012、JC/T 2039-2010、GB/T 1927.4-2021，检验项目包含但不限于：①抗菌性能：金黄色葡萄球菌、大肠杆菌、表皮葡萄球菌、嗜麦芽寡养单胞菌、鼠伤寒沙门氏菌、铜绿假单胞菌、鲍曼不动杆菌、粪肠球菌判定结果为合格；②防霉菌性能：黑曲霉、土曲霉、宛氏拟青霉、绳状青霉、出芽短梗霉、球毛壳、桔青霉、产黄青霉判定结果为合格；③含水率判定结果为合格；④外观要求判定结果为合格。</w:t>
            </w:r>
          </w:p>
          <w:p w14:paraId="2F8B72EA">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1.15、其他要求：</w:t>
            </w:r>
          </w:p>
          <w:p w14:paraId="13C44843">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（1）、下后拉条：采用方管≥40mm×20mm×1.0mm，蚊帐杆：≥Φ22×1.0mm厚金属圆管制作，高度可调节。防潮塑料脚套：采用优质塑胶一次性注塑成型，形状与立柱完全吻合，起到静音防潮作用。（不允许3D打印）。</w:t>
            </w:r>
          </w:p>
          <w:p w14:paraId="6C14F03A">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（2）、床架部分生产工艺要求：</w:t>
            </w:r>
          </w:p>
          <w:p w14:paraId="7A50E29E">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表面经酸洗、磷化，采用环保防腐抗菌喷涂粉末静电喷塑。质量及安全标准：成品装配连接尺寸统一、无锐角、平整光滑、牢固、美观、安全、耐用。所有焊接处均经过打磨，确保成品无毛刺；材质具有耐水、耐老化、阻燃性好、稳定度高、不变形型材管，整体稳固美观。材料及制造工艺要求：所有钢材采用相当于或不低于“首钢”、“攀钢”、“宝钢”等国家标准大厂钢材，高频焊接冷轧封口钢材，成型前经过特殊防腐处理，强度及延展性好，二氧化碳焊接。各钢件焊接表面波纹均匀，焊接处无夹渣、气孔、焊瘤、焊丝头咬边、飞溅，并保证无脱焊、虚焊及焊穿等现象。</w:t>
            </w:r>
          </w:p>
          <w:p w14:paraId="0C12C9DA">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■1.16投标文件中提供带有“CMA及CNAS”标识的学生宿舍床架检验检测报告扫描件及全国认证认可信息公共服务平台官网的查询截图，检验依据至少包含：GB/T 35607-2024、QB/T 3827-1999、GB/T6739-2022、GB/T 41650-2022、QB/T 4767-2014、GB28008-2024、QB/T3832-1999，检验项目包含但不限于：①金属表面耐腐蚀乙酸盐雾试验(ASS)法 605h，涂层本身的耐腐蚀等级10级；涂层对基体的保护等级10级； ②安全性判定结果为合格；③安全性能：结构安全-通用结构安全-基本结构安全判定结果为合格；④理化性能：产品表面理化性能-金属喷漆（塑）涂层-硬度判定结果为合格；⑤力学性能：单层床强度和耐久性-床铺面垂直静载荷测试（载荷1400N）-家用判定结果为合格；⑥环境属性：产品有害物质-甲醛释放量-绿色标杆产品值-木家具及其他家具判定结果为合格。</w:t>
            </w:r>
          </w:p>
          <w:p w14:paraId="47D66CD0">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■1.17投标文件中提供带有“CMA及CNAS”标识的塑粉检验检测报告扫描件及全国认证认可信息公共服务平台官网的查询截图，检验依据至少包含：GB/T 21782.8-2008、GB18581-2020、HG/T 2006-2022、GB/T 9754-2007、GB/T 9268-2008、GB/T9274-1988，检验项目包含但不限于：①贮存稳定性；不变质（0 级）判定结果为合格；②中性盐雾：中性盐雾 500h 判定结果为合格；④耐酸性 240h 无异常判定结果为合格；⑤耐湿性（室内用）500h 判定结果为合格；总铅含量≤90mg/kg 判定结果为合格；⑦可溶性重金属含量（镉 Cd≤75mg/kg、铬 Cr≤60mg/kg、汞 Hg≤60mg/kg）判定结果为合格；⑧光泽：10-70GU 判定结果为合格；</w:t>
            </w:r>
          </w:p>
          <w:p w14:paraId="08193F62">
            <w:pPr>
              <w:autoSpaceDE w:val="0"/>
              <w:autoSpaceDN w:val="0"/>
              <w:adjustRightInd w:val="0"/>
              <w:spacing w:line="560" w:lineRule="exact"/>
              <w:ind w:firstLine="120" w:firstLineChars="50"/>
              <w:jc w:val="left"/>
              <w:rPr>
                <w:rFonts w:ascii="宋体" w:hAnsi="宋体" w:eastAsia="宋体" w:cs="宋体"/>
                <w:sz w:val="24"/>
              </w:rPr>
            </w:pPr>
            <w:r>
              <w:rPr>
                <w:rFonts w:hint="eastAsia" w:ascii="宋体" w:hAnsi="宋体" w:eastAsia="宋体" w:cs="宋体"/>
                <w:sz w:val="24"/>
              </w:rPr>
              <w:t>■1.18投标文件中提供带有“CMA及CNAS”标识的防潮塑料脚套检验检测报告扫描件及全国认证认可信息公共服务平台官网的查询截图，检验依据至少包含：GB/T 32487-2016、GB/T 9341-2008、QB/T 4371-2012、GB/T 24128-2018，检验项目包含但不限于：①抗菌性能：抑菌率-金黄色葡萄球菌、大肠杆菌（大肠埃希氏菌）、枯草芽孢杆菌、白色葡萄球菌、藤黄微球菌判定结果为合格；②防霉性能：黑曲霉、球毛壳霉、宛氏拟青霉、绳状青霉、长枝木霉判定结果为合格；③有害物件限量要求：邻苯二甲酸酯、重金属、多环芳烃、多溴二苯醚判定结果为合格；④塑料材料理化性能：耐老化性-室内用500h判定结果为合格；⑤外观：塑料件外观判定结果为合格；⑥理化性能：塑料件-硬度判定结果为合格；⑦弯曲强度判定结果为合格；</w:t>
            </w:r>
          </w:p>
          <w:p w14:paraId="6994F38B">
            <w:pPr>
              <w:autoSpaceDE w:val="0"/>
              <w:autoSpaceDN w:val="0"/>
              <w:adjustRightInd w:val="0"/>
              <w:spacing w:line="560" w:lineRule="exact"/>
              <w:ind w:firstLine="120" w:firstLineChars="50"/>
              <w:jc w:val="left"/>
              <w:rPr>
                <w:rFonts w:ascii="宋体" w:hAnsi="宋体" w:eastAsia="宋体" w:cs="宋体"/>
                <w:szCs w:val="21"/>
              </w:rPr>
            </w:pPr>
            <w:r>
              <w:rPr>
                <w:rFonts w:hint="eastAsia" w:ascii="宋体" w:hAnsi="宋体" w:eastAsia="宋体" w:cs="宋体"/>
                <w:sz w:val="24"/>
              </w:rPr>
              <w:t>■1.19投标文件中提供带有“CMA及CNAS”标识的本项目所用钢构件（须至少包含床立柱、床横梁、床支撑）的检验检测报告扫描件及全国认证认可信息公共服务平台官网的查询截图，检验依据至少包含：QB/T 3827-1999、GB/T228.1-2021、GB/T 6739-2022、QB/T3832-1999，检验项目包含但不限于：①力学性能：抗拉强度判定结果为合格；②金属表面耐腐蚀试验：乙酸盐雾试验（ASS）法240h，涂层本身的耐腐蚀等级达到10级、涂层对基体的保护等级达到10级；③外观：金属件-喷涂层判定结果为合格；④理化性能：产品表面理化性能-金属喷漆（塑）涂层-硬度判定结果为合格。</w:t>
            </w:r>
          </w:p>
        </w:tc>
        <w:tc>
          <w:tcPr>
            <w:tcW w:w="657" w:type="dxa"/>
            <w:tcBorders>
              <w:top w:val="single" w:color="auto" w:sz="4" w:space="0"/>
              <w:left w:val="single" w:color="auto" w:sz="4" w:space="0"/>
              <w:bottom w:val="single" w:color="auto" w:sz="4" w:space="0"/>
              <w:right w:val="single" w:color="auto" w:sz="4" w:space="0"/>
            </w:tcBorders>
            <w:vAlign w:val="center"/>
          </w:tcPr>
          <w:p w14:paraId="16695408">
            <w:pPr>
              <w:spacing w:line="560" w:lineRule="exact"/>
              <w:rPr>
                <w:rFonts w:ascii="宋体" w:hAnsi="宋体" w:eastAsia="宋体" w:cs="宋体"/>
                <w:sz w:val="24"/>
              </w:rPr>
            </w:pPr>
            <w:r>
              <w:rPr>
                <w:rFonts w:hint="eastAsia" w:ascii="宋体" w:hAnsi="宋体" w:eastAsia="宋体" w:cs="宋体"/>
                <w:sz w:val="24"/>
              </w:rPr>
              <w:t xml:space="preserve">1092位 （共 273间宿舍，两联两位546 </w:t>
            </w:r>
          </w:p>
          <w:p w14:paraId="4B38D517">
            <w:pPr>
              <w:spacing w:line="560" w:lineRule="exact"/>
              <w:rPr>
                <w:rFonts w:ascii="宋体" w:hAnsi="宋体" w:eastAsia="宋体" w:cs="宋体"/>
                <w:sz w:val="24"/>
              </w:rPr>
            </w:pPr>
            <w:r>
              <w:rPr>
                <w:rFonts w:hint="eastAsia" w:ascii="宋体" w:hAnsi="宋体" w:eastAsia="宋体" w:cs="宋体"/>
                <w:sz w:val="24"/>
              </w:rPr>
              <w:t>组）</w:t>
            </w:r>
          </w:p>
          <w:p w14:paraId="64ED6B8F">
            <w:pPr>
              <w:autoSpaceDE w:val="0"/>
              <w:autoSpaceDN w:val="0"/>
              <w:adjustRightInd w:val="0"/>
              <w:spacing w:line="560" w:lineRule="exact"/>
              <w:jc w:val="left"/>
              <w:rPr>
                <w:rFonts w:ascii="宋体" w:hAnsi="宋体" w:eastAsia="宋体" w:cs="宋体"/>
                <w:szCs w:val="21"/>
                <w:lang w:bidi="ar"/>
              </w:rPr>
            </w:pPr>
          </w:p>
        </w:tc>
      </w:tr>
      <w:tr w14:paraId="7DAD93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71" w:type="dxa"/>
            <w:vMerge w:val="continue"/>
            <w:tcBorders>
              <w:left w:val="single" w:color="auto" w:sz="4" w:space="0"/>
              <w:right w:val="single" w:color="auto" w:sz="4" w:space="0"/>
            </w:tcBorders>
            <w:vAlign w:val="center"/>
          </w:tcPr>
          <w:p w14:paraId="453FF987">
            <w:pPr>
              <w:spacing w:line="560" w:lineRule="exact"/>
              <w:jc w:val="center"/>
              <w:rPr>
                <w:rFonts w:ascii="宋体" w:hAnsi="宋体" w:eastAsia="宋体" w:cs="宋体"/>
                <w:sz w:val="24"/>
                <w:szCs w:val="20"/>
              </w:rPr>
            </w:pPr>
          </w:p>
        </w:tc>
        <w:tc>
          <w:tcPr>
            <w:tcW w:w="995" w:type="dxa"/>
            <w:tcBorders>
              <w:top w:val="single" w:color="auto" w:sz="4" w:space="0"/>
              <w:left w:val="single" w:color="auto" w:sz="4" w:space="0"/>
              <w:bottom w:val="single" w:color="auto" w:sz="4" w:space="0"/>
              <w:right w:val="single" w:color="auto" w:sz="4" w:space="0"/>
            </w:tcBorders>
            <w:vAlign w:val="center"/>
          </w:tcPr>
          <w:p w14:paraId="38061384">
            <w:pPr>
              <w:spacing w:line="560" w:lineRule="exact"/>
              <w:jc w:val="center"/>
              <w:rPr>
                <w:rFonts w:ascii="宋体" w:hAnsi="宋体" w:eastAsia="宋体" w:cs="宋体"/>
                <w:szCs w:val="21"/>
              </w:rPr>
            </w:pPr>
            <w:r>
              <w:rPr>
                <w:rFonts w:hint="eastAsia" w:ascii="宋体" w:hAnsi="宋体" w:eastAsia="宋体" w:cs="宋体"/>
                <w:szCs w:val="21"/>
                <w:lang w:bidi="ar"/>
              </w:rPr>
              <w:t>2</w:t>
            </w:r>
          </w:p>
        </w:tc>
        <w:tc>
          <w:tcPr>
            <w:tcW w:w="940" w:type="dxa"/>
            <w:tcBorders>
              <w:top w:val="single" w:color="auto" w:sz="4" w:space="0"/>
              <w:left w:val="single" w:color="auto" w:sz="4" w:space="0"/>
              <w:bottom w:val="single" w:color="auto" w:sz="4" w:space="0"/>
              <w:right w:val="single" w:color="auto" w:sz="4" w:space="0"/>
            </w:tcBorders>
            <w:vAlign w:val="center"/>
          </w:tcPr>
          <w:p w14:paraId="3706DCCE">
            <w:pPr>
              <w:spacing w:line="560" w:lineRule="exact"/>
              <w:rPr>
                <w:rFonts w:ascii="宋体" w:hAnsi="宋体" w:eastAsia="宋体" w:cs="宋体"/>
                <w:sz w:val="24"/>
              </w:rPr>
            </w:pPr>
            <w:r>
              <w:rPr>
                <w:rFonts w:hint="eastAsia" w:ascii="宋体" w:hAnsi="宋体" w:eastAsia="宋体" w:cs="宋体"/>
                <w:sz w:val="24"/>
              </w:rPr>
              <w:t>公寓床组合柜</w:t>
            </w:r>
          </w:p>
          <w:p w14:paraId="71B1DF43">
            <w:pPr>
              <w:autoSpaceDE w:val="0"/>
              <w:autoSpaceDN w:val="0"/>
              <w:adjustRightInd w:val="0"/>
              <w:spacing w:line="560" w:lineRule="exact"/>
              <w:jc w:val="left"/>
              <w:rPr>
                <w:rFonts w:ascii="宋体" w:hAnsi="宋体" w:eastAsia="宋体" w:cs="宋体"/>
                <w:szCs w:val="21"/>
              </w:rPr>
            </w:pPr>
          </w:p>
        </w:tc>
        <w:tc>
          <w:tcPr>
            <w:tcW w:w="5235" w:type="dxa"/>
            <w:tcBorders>
              <w:top w:val="single" w:color="auto" w:sz="4" w:space="0"/>
              <w:left w:val="single" w:color="auto" w:sz="4" w:space="0"/>
              <w:bottom w:val="single" w:color="auto" w:sz="4" w:space="0"/>
              <w:right w:val="single" w:color="auto" w:sz="4" w:space="0"/>
            </w:tcBorders>
          </w:tcPr>
          <w:p w14:paraId="02AB2DC4">
            <w:pPr>
              <w:spacing w:line="360" w:lineRule="auto"/>
              <w:rPr>
                <w:rFonts w:ascii="宋体" w:hAnsi="宋体" w:cs="宋体"/>
                <w:sz w:val="24"/>
              </w:rPr>
            </w:pPr>
            <w:r>
              <w:rPr>
                <w:rFonts w:hint="eastAsia" w:ascii="宋体" w:hAnsi="宋体" w:cs="宋体"/>
                <w:b/>
                <w:bCs/>
                <w:sz w:val="24"/>
              </w:rPr>
              <w:t>二、公寓床组合柜整体规格：≥L1900mm×W600mm×H1690mm（尺寸按实际空间制作）</w:t>
            </w:r>
          </w:p>
          <w:p w14:paraId="7C0768AE">
            <w:pPr>
              <w:spacing w:line="360" w:lineRule="auto"/>
              <w:rPr>
                <w:rFonts w:ascii="宋体" w:hAnsi="宋体" w:cs="宋体"/>
                <w:sz w:val="24"/>
              </w:rPr>
            </w:pPr>
            <w:r>
              <w:rPr>
                <w:rFonts w:hint="eastAsia" w:ascii="宋体" w:hAnsi="宋体" w:cs="宋体"/>
                <w:sz w:val="24"/>
              </w:rPr>
              <w:t>材质及规格要求：</w:t>
            </w:r>
          </w:p>
          <w:p w14:paraId="4347C90F">
            <w:pPr>
              <w:spacing w:line="360" w:lineRule="auto"/>
              <w:rPr>
                <w:rFonts w:ascii="宋体" w:hAnsi="宋体" w:cs="宋体"/>
                <w:sz w:val="24"/>
              </w:rPr>
            </w:pPr>
            <w:r>
              <w:rPr>
                <w:rFonts w:hint="eastAsia" w:ascii="宋体" w:hAnsi="宋体" w:cs="宋体"/>
                <w:b/>
                <w:bCs/>
                <w:sz w:val="24"/>
              </w:rPr>
              <w:t>2.1.衣柜规格：</w:t>
            </w:r>
            <w:r>
              <w:rPr>
                <w:rFonts w:hint="eastAsia" w:ascii="宋体" w:hAnsi="宋体" w:cs="宋体"/>
                <w:sz w:val="24"/>
              </w:rPr>
              <w:t xml:space="preserve">≥L700mm×W600mm×H1690mm </w:t>
            </w:r>
          </w:p>
          <w:p w14:paraId="33F919F2">
            <w:pPr>
              <w:spacing w:line="360" w:lineRule="auto"/>
              <w:rPr>
                <w:rFonts w:ascii="宋体" w:hAnsi="宋体" w:cs="宋体"/>
                <w:sz w:val="24"/>
              </w:rPr>
            </w:pPr>
            <w:r>
              <w:rPr>
                <w:rFonts w:hint="eastAsia" w:ascii="宋体" w:hAnsi="宋体" w:cs="宋体"/>
                <w:b/>
                <w:bCs/>
                <w:sz w:val="24"/>
              </w:rPr>
              <w:t>2.2衣柜柜体主材：</w:t>
            </w:r>
            <w:r>
              <w:rPr>
                <w:rFonts w:hint="eastAsia" w:ascii="宋体" w:hAnsi="宋体" w:cs="宋体"/>
                <w:sz w:val="24"/>
              </w:rPr>
              <w:t>采用≥16mm厚E0级三聚氰胺饰面颗粒板，四周边部整体注塑成型且无接缝，采用一次注塑成型技术，衣柜分为上下两层设计，柜内安装优质挂衣杆。</w:t>
            </w:r>
          </w:p>
          <w:p w14:paraId="7665160D">
            <w:pPr>
              <w:spacing w:line="360" w:lineRule="auto"/>
              <w:rPr>
                <w:rFonts w:ascii="宋体" w:hAnsi="宋体" w:cs="宋体"/>
                <w:sz w:val="24"/>
              </w:rPr>
            </w:pPr>
            <w:r>
              <w:rPr>
                <w:rFonts w:hint="eastAsia" w:ascii="宋体" w:hAnsi="宋体" w:cs="宋体"/>
                <w:sz w:val="24"/>
              </w:rPr>
              <w:t>●</w:t>
            </w:r>
            <w:r>
              <w:rPr>
                <w:rFonts w:hint="eastAsia" w:ascii="宋体" w:hAnsi="宋体" w:cs="宋体"/>
                <w:b/>
                <w:bCs/>
                <w:sz w:val="24"/>
              </w:rPr>
              <w:t>2.3衣柜上、下门板：</w:t>
            </w:r>
            <w:r>
              <w:rPr>
                <w:rFonts w:hint="eastAsia" w:ascii="宋体" w:hAnsi="宋体" w:cs="宋体"/>
                <w:sz w:val="24"/>
              </w:rPr>
              <w:t>上门板规格≥400mm×400mm×18mm；下门板规格≥1200mm×400mm×18mm。采用≥18mm 厚度的E0级三聚氰胺饰面颗粒板。四周边部整体注塑成型且无接缝，采用一次注塑成型技术，门上自带一体成型拉手设计，门板铰链安装位置采用一次模压注塑成型杯孔。</w:t>
            </w:r>
          </w:p>
          <w:p w14:paraId="1F0BF952">
            <w:pPr>
              <w:spacing w:line="360" w:lineRule="auto"/>
              <w:rPr>
                <w:rFonts w:ascii="宋体" w:hAnsi="宋体" w:cs="宋体"/>
                <w:sz w:val="24"/>
              </w:rPr>
            </w:pPr>
            <w:r>
              <w:rPr>
                <w:rFonts w:hint="eastAsia" w:ascii="宋体" w:hAnsi="宋体" w:cs="宋体"/>
                <w:b/>
                <w:bCs/>
                <w:sz w:val="24"/>
              </w:rPr>
              <w:t>2.4学习桌：</w:t>
            </w:r>
            <w:r>
              <w:rPr>
                <w:rFonts w:hint="eastAsia" w:ascii="宋体" w:hAnsi="宋体" w:cs="宋体"/>
                <w:sz w:val="24"/>
              </w:rPr>
              <w:t>学习桌面规格≥L1200mm×W600mm×高760mm，桌面厚≥25mm，四周边部整体注塑成型且无接缝，采用一次注塑成型，基材采用E0级实木双饰面颗粒板，饰面采用三聚氰胺浸渍胶膜纸，游离甲醛含量达到E0级环保标准；美观，环保。</w:t>
            </w:r>
          </w:p>
          <w:p w14:paraId="2968775D">
            <w:pPr>
              <w:spacing w:line="360" w:lineRule="auto"/>
              <w:rPr>
                <w:rFonts w:ascii="宋体" w:hAnsi="宋体" w:cs="宋体"/>
                <w:b/>
                <w:bCs/>
                <w:sz w:val="24"/>
              </w:rPr>
            </w:pPr>
            <w:r>
              <w:rPr>
                <w:rFonts w:hint="eastAsia" w:ascii="宋体" w:hAnsi="宋体" w:cs="宋体"/>
                <w:b/>
                <w:bCs/>
                <w:sz w:val="24"/>
              </w:rPr>
              <w:t>2.5桌下柜子柜体基材</w:t>
            </w:r>
            <w:r>
              <w:rPr>
                <w:rFonts w:hint="eastAsia" w:ascii="宋体" w:hAnsi="宋体" w:cs="宋体"/>
                <w:sz w:val="24"/>
              </w:rPr>
              <w:t>采用≥16mm 厚度的E0级三聚氰胺饰面颗粒板，采用四周边部整体注塑成型且无接缝，采用一次注塑成型技术；采用优质铰链及优质导轨，其他所有配件均为优质五金配件，符合国家标准。</w:t>
            </w:r>
          </w:p>
          <w:p w14:paraId="27B7E395">
            <w:pPr>
              <w:spacing w:line="360" w:lineRule="auto"/>
              <w:rPr>
                <w:rFonts w:ascii="宋体" w:hAnsi="宋体" w:cs="宋体"/>
                <w:sz w:val="24"/>
              </w:rPr>
            </w:pPr>
            <w:r>
              <w:rPr>
                <w:rFonts w:hint="eastAsia" w:ascii="宋体" w:hAnsi="宋体" w:cs="宋体"/>
                <w:b/>
                <w:bCs/>
                <w:sz w:val="24"/>
              </w:rPr>
              <w:t>2.6、书架规格</w:t>
            </w:r>
            <w:r>
              <w:rPr>
                <w:rFonts w:hint="eastAsia" w:ascii="宋体" w:hAnsi="宋体" w:cs="宋体"/>
                <w:sz w:val="24"/>
              </w:rPr>
              <w:t>：≥L1200mm×W240mm×H930mm，基材采用E0级三聚氰胺饰面颗粒板，横面板材、背板厚度≥16mm，竖直隔断板材厚度≥25mm增强承重，采用四周边部整体注塑成型且无接缝，采用一次注塑成型技术。</w:t>
            </w:r>
          </w:p>
          <w:p w14:paraId="54A298D4">
            <w:pPr>
              <w:spacing w:line="360" w:lineRule="auto"/>
              <w:rPr>
                <w:rFonts w:ascii="宋体" w:hAnsi="宋体" w:cs="宋体"/>
                <w:sz w:val="24"/>
              </w:rPr>
            </w:pPr>
            <w:r>
              <w:rPr>
                <w:rFonts w:hint="eastAsia" w:ascii="宋体" w:hAnsi="宋体" w:cs="宋体"/>
                <w:b/>
                <w:bCs/>
                <w:sz w:val="24"/>
              </w:rPr>
              <w:t xml:space="preserve">2.7 </w:t>
            </w:r>
            <w:r>
              <w:rPr>
                <w:rFonts w:hint="eastAsia" w:ascii="宋体" w:hAnsi="宋体" w:cs="宋体"/>
                <w:sz w:val="24"/>
              </w:rPr>
              <w:t>配件：组合柜底部配有防潮垫，高度≥15mm。采用优质铰链及优质导轨，其他所有配件均为优质五金配件，符合国家标准。</w:t>
            </w:r>
          </w:p>
          <w:p w14:paraId="7CCDE4B7">
            <w:pPr>
              <w:spacing w:line="360" w:lineRule="auto"/>
              <w:rPr>
                <w:rFonts w:ascii="宋体" w:hAnsi="宋体" w:cs="宋体"/>
                <w:sz w:val="24"/>
              </w:rPr>
            </w:pPr>
            <w:r>
              <w:rPr>
                <w:rFonts w:hint="eastAsia" w:ascii="宋体" w:hAnsi="宋体" w:cs="宋体"/>
                <w:sz w:val="24"/>
              </w:rPr>
              <w:t>■</w:t>
            </w:r>
            <w:r>
              <w:rPr>
                <w:rFonts w:hint="eastAsia" w:ascii="宋体" w:hAnsi="宋体" w:cs="宋体"/>
                <w:b/>
                <w:bCs/>
                <w:sz w:val="24"/>
              </w:rPr>
              <w:t>2.8投标文件中提供带有“CMA及CNAS”标识的注塑封边一次成型门板检验报告扫描件及全国认证认可信息公共服务平台官网的查询截图，检验依据至少包含：</w:t>
            </w:r>
            <w:r>
              <w:rPr>
                <w:rFonts w:hint="eastAsia" w:ascii="宋体" w:hAnsi="宋体" w:cs="宋体"/>
                <w:sz w:val="24"/>
              </w:rPr>
              <w:t>GB/T 3324-2024、GB/T 35607-2024，检验项目包含但不限于：木材含水率判定合格，金属拉手耐腐蚀性：检测时间不少于300小时，无腐蚀、生锈，功能正常。甲醛释放量（1立方）：绿色标杆产品检验结果≤0.03mg/m³。总挥发性有机化合物（TVOC）检验结果≤0.20mg/m³、苯并[a]芘：塑料部件中含量≤0.3mg/kg、甲醛释放量未检出。</w:t>
            </w:r>
          </w:p>
          <w:p w14:paraId="01CC294F">
            <w:pPr>
              <w:pStyle w:val="9"/>
              <w:ind w:firstLine="0" w:firstLineChars="0"/>
              <w:rPr>
                <w:rFonts w:ascii="宋体" w:hAnsi="宋体" w:cs="宋体"/>
                <w:sz w:val="24"/>
              </w:rPr>
            </w:pPr>
            <w:r>
              <w:rPr>
                <w:rFonts w:hint="eastAsia" w:ascii="宋体" w:hAnsi="宋体" w:cs="宋体"/>
                <w:sz w:val="24"/>
              </w:rPr>
              <w:t>■</w:t>
            </w:r>
            <w:r>
              <w:rPr>
                <w:rFonts w:hint="eastAsia" w:ascii="宋体" w:hAnsi="宋体" w:cs="宋体"/>
                <w:b/>
                <w:bCs/>
                <w:sz w:val="24"/>
              </w:rPr>
              <w:t>2.9投标文件中提供带有“CMA及CNAS”标识的滑轨（导轨）检验检测报告扫描件及全国认证认可信息公共服务平台官网的查询截图，检验依据至少包含：</w:t>
            </w:r>
            <w:r>
              <w:rPr>
                <w:rFonts w:hint="eastAsia" w:ascii="宋体" w:hAnsi="宋体" w:cs="宋体"/>
                <w:sz w:val="24"/>
              </w:rPr>
              <w:t>QB/T 3827-1999、GB/T 6739-2022、QB/T 2454-2013、QB/T 3832-1999，检验项目包含但不限于：①金属表面耐腐蚀试验：乙酸盐雾试验（ASS）法-605h-涂层本身的耐腐蚀等级达到10级、涂层对基体的保护等级达到10级；②过载：垂直向下静载荷判定结果为合格；③理化性能：产品表面理化性能-金属喷漆（塑）涂层-硬度判定结果为合格；</w:t>
            </w:r>
          </w:p>
          <w:p w14:paraId="7D8422F5">
            <w:pPr>
              <w:widowControl/>
              <w:spacing w:line="560" w:lineRule="exact"/>
              <w:jc w:val="left"/>
              <w:rPr>
                <w:rFonts w:ascii="宋体" w:hAnsi="宋体" w:eastAsia="宋体" w:cs="宋体"/>
                <w:sz w:val="24"/>
              </w:rPr>
            </w:pPr>
            <w:r>
              <w:rPr>
                <w:rFonts w:hint="eastAsia" w:ascii="宋体" w:hAnsi="宋体" w:cs="宋体"/>
                <w:sz w:val="24"/>
              </w:rPr>
              <w:t>■</w:t>
            </w:r>
            <w:r>
              <w:rPr>
                <w:rFonts w:hint="eastAsia" w:ascii="宋体" w:hAnsi="宋体" w:cs="宋体"/>
                <w:b/>
                <w:bCs/>
                <w:sz w:val="24"/>
              </w:rPr>
              <w:t>2.10投标文件中提供带有“CMA及CNAS”标识的防潮 PVC 封边条检验检测报告扫描件及全国认证认可信息公共服务平台官网的查询截图，检验依据至少包含：</w:t>
            </w:r>
            <w:r>
              <w:rPr>
                <w:rFonts w:hint="eastAsia" w:ascii="宋体" w:hAnsi="宋体" w:cs="宋体"/>
                <w:sz w:val="24"/>
              </w:rPr>
              <w:t>QB/T 4463-2013、GB 20286-2006、GB/T 32487-2016，检验项目包含但不限于：①抗菌性能：抗菌性能值-枯草芽孢杆菌判定结果为合格；②外观：塑料件外观判定结果为合格；③理化性能：塑料封边条-耐老化性判定结果为合格； ④燃烧性能：公共场所阻燃家具及组件-阻燃性能等级-阻燃 1 级（家具/组件）-组件/其它家具判定结果为合格。</w:t>
            </w:r>
          </w:p>
        </w:tc>
        <w:tc>
          <w:tcPr>
            <w:tcW w:w="657" w:type="dxa"/>
            <w:tcBorders>
              <w:top w:val="single" w:color="auto" w:sz="4" w:space="0"/>
              <w:left w:val="single" w:color="auto" w:sz="4" w:space="0"/>
              <w:bottom w:val="single" w:color="auto" w:sz="4" w:space="0"/>
              <w:right w:val="single" w:color="auto" w:sz="4" w:space="0"/>
            </w:tcBorders>
            <w:vAlign w:val="center"/>
          </w:tcPr>
          <w:p w14:paraId="24C1FE07">
            <w:pPr>
              <w:autoSpaceDE w:val="0"/>
              <w:autoSpaceDN w:val="0"/>
              <w:adjustRightInd w:val="0"/>
              <w:spacing w:line="560" w:lineRule="exact"/>
              <w:jc w:val="left"/>
              <w:rPr>
                <w:rFonts w:ascii="宋体" w:hAnsi="宋体" w:eastAsia="宋体" w:cs="宋体"/>
                <w:szCs w:val="21"/>
              </w:rPr>
            </w:pPr>
            <w:r>
              <w:rPr>
                <w:rFonts w:hint="eastAsia" w:ascii="宋体" w:hAnsi="宋体" w:cs="宋体"/>
                <w:szCs w:val="21"/>
              </w:rPr>
              <w:t>1048套</w:t>
            </w:r>
          </w:p>
        </w:tc>
      </w:tr>
      <w:tr w14:paraId="743F7D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71" w:type="dxa"/>
            <w:tcBorders>
              <w:left w:val="single" w:color="auto" w:sz="4" w:space="0"/>
              <w:right w:val="single" w:color="auto" w:sz="4" w:space="0"/>
            </w:tcBorders>
            <w:vAlign w:val="center"/>
          </w:tcPr>
          <w:p w14:paraId="0A0AECFB">
            <w:pPr>
              <w:spacing w:line="560" w:lineRule="exact"/>
              <w:jc w:val="center"/>
              <w:rPr>
                <w:rFonts w:ascii="宋体" w:hAnsi="宋体" w:eastAsia="宋体" w:cs="宋体"/>
                <w:sz w:val="24"/>
                <w:szCs w:val="20"/>
              </w:rPr>
            </w:pPr>
          </w:p>
        </w:tc>
        <w:tc>
          <w:tcPr>
            <w:tcW w:w="995" w:type="dxa"/>
            <w:tcBorders>
              <w:top w:val="single" w:color="auto" w:sz="4" w:space="0"/>
              <w:left w:val="single" w:color="auto" w:sz="4" w:space="0"/>
              <w:bottom w:val="single" w:color="auto" w:sz="4" w:space="0"/>
              <w:right w:val="single" w:color="auto" w:sz="4" w:space="0"/>
            </w:tcBorders>
            <w:vAlign w:val="center"/>
          </w:tcPr>
          <w:p w14:paraId="79529608">
            <w:pPr>
              <w:spacing w:line="560" w:lineRule="exact"/>
              <w:jc w:val="center"/>
              <w:rPr>
                <w:rFonts w:ascii="宋体" w:hAnsi="宋体" w:eastAsia="宋体" w:cs="宋体"/>
                <w:szCs w:val="21"/>
                <w:lang w:bidi="ar"/>
              </w:rPr>
            </w:pPr>
            <w:r>
              <w:rPr>
                <w:rFonts w:hint="eastAsia" w:ascii="宋体" w:hAnsi="宋体" w:cs="宋体"/>
                <w:szCs w:val="21"/>
                <w:lang w:bidi="ar"/>
              </w:rPr>
              <w:t>4</w:t>
            </w:r>
          </w:p>
        </w:tc>
        <w:tc>
          <w:tcPr>
            <w:tcW w:w="940" w:type="dxa"/>
            <w:tcBorders>
              <w:top w:val="single" w:color="auto" w:sz="4" w:space="0"/>
              <w:left w:val="single" w:color="auto" w:sz="4" w:space="0"/>
              <w:bottom w:val="single" w:color="auto" w:sz="4" w:space="0"/>
              <w:right w:val="single" w:color="auto" w:sz="4" w:space="0"/>
            </w:tcBorders>
            <w:vAlign w:val="center"/>
          </w:tcPr>
          <w:p w14:paraId="3CBB56F1">
            <w:pPr>
              <w:autoSpaceDE w:val="0"/>
              <w:autoSpaceDN w:val="0"/>
              <w:adjustRightInd w:val="0"/>
              <w:spacing w:line="560" w:lineRule="exact"/>
              <w:jc w:val="left"/>
              <w:rPr>
                <w:rFonts w:ascii="宋体" w:hAnsi="宋体" w:cs="宋体"/>
                <w:szCs w:val="21"/>
                <w:lang w:bidi="ar"/>
              </w:rPr>
            </w:pPr>
            <w:r>
              <w:rPr>
                <w:rFonts w:hint="eastAsia" w:ascii="宋体" w:hAnsi="宋体" w:cs="宋体"/>
                <w:sz w:val="22"/>
                <w:szCs w:val="22"/>
                <w:lang w:bidi="ar"/>
              </w:rPr>
              <w:t>门口储物柜</w:t>
            </w:r>
          </w:p>
        </w:tc>
        <w:tc>
          <w:tcPr>
            <w:tcW w:w="5235" w:type="dxa"/>
            <w:tcBorders>
              <w:top w:val="single" w:color="auto" w:sz="4" w:space="0"/>
              <w:left w:val="single" w:color="auto" w:sz="4" w:space="0"/>
              <w:bottom w:val="single" w:color="auto" w:sz="4" w:space="0"/>
              <w:right w:val="single" w:color="auto" w:sz="4" w:space="0"/>
            </w:tcBorders>
          </w:tcPr>
          <w:p w14:paraId="043F30E0">
            <w:pPr>
              <w:widowControl/>
              <w:spacing w:line="560" w:lineRule="exact"/>
              <w:jc w:val="left"/>
              <w:rPr>
                <w:rFonts w:ascii="宋体" w:hAnsi="宋体" w:eastAsia="宋体" w:cs="宋体"/>
                <w:sz w:val="24"/>
              </w:rPr>
            </w:pPr>
            <w:r>
              <w:rPr>
                <w:rFonts w:hint="eastAsia" w:ascii="宋体" w:hAnsi="宋体" w:eastAsia="宋体" w:cs="宋体"/>
                <w:sz w:val="24"/>
              </w:rPr>
              <w:t>外形规格：≥长800mm×深600mm×1800mm高（尺寸按实际空间制作）</w:t>
            </w:r>
          </w:p>
          <w:p w14:paraId="0742A32C">
            <w:pPr>
              <w:widowControl/>
              <w:spacing w:line="560" w:lineRule="exact"/>
              <w:jc w:val="left"/>
              <w:rPr>
                <w:rFonts w:ascii="宋体" w:hAnsi="宋体" w:eastAsia="宋体" w:cs="宋体"/>
                <w:sz w:val="24"/>
              </w:rPr>
            </w:pPr>
            <w:r>
              <w:rPr>
                <w:rFonts w:hint="eastAsia" w:ascii="宋体" w:hAnsi="宋体" w:eastAsia="宋体" w:cs="宋体"/>
                <w:sz w:val="24"/>
              </w:rPr>
              <w:t xml:space="preserve"> 4.1背板：采用≥9mmE0级实木双饰面颗粒板制作；其他板材：采用≥18mm双饰面颗粒板制作，饰面采用三聚氰胺浸渍胶膜纸，游离甲醛含量达到E0级环保标准；板材露边处采用高热熔环保胶封边，美观，环保，提高产品耐久性、耐高温性能，做到平整，不炝边、受热受冻不会脱胶开裂。</w:t>
            </w:r>
          </w:p>
          <w:p w14:paraId="162B7452">
            <w:pPr>
              <w:widowControl/>
              <w:spacing w:line="560" w:lineRule="exact"/>
              <w:jc w:val="left"/>
              <w:rPr>
                <w:rFonts w:ascii="宋体" w:hAnsi="宋体" w:eastAsia="宋体" w:cs="宋体"/>
                <w:sz w:val="24"/>
              </w:rPr>
            </w:pPr>
            <w:r>
              <w:rPr>
                <w:rFonts w:hint="eastAsia" w:ascii="宋体" w:hAnsi="宋体" w:eastAsia="宋体" w:cs="宋体"/>
                <w:sz w:val="24"/>
              </w:rPr>
              <w:t>4.2采用优质五金配件，符合国家标准。底部配有防潮垫。</w:t>
            </w:r>
          </w:p>
        </w:tc>
        <w:tc>
          <w:tcPr>
            <w:tcW w:w="657" w:type="dxa"/>
            <w:tcBorders>
              <w:top w:val="single" w:color="auto" w:sz="4" w:space="0"/>
              <w:left w:val="single" w:color="auto" w:sz="4" w:space="0"/>
              <w:bottom w:val="single" w:color="auto" w:sz="4" w:space="0"/>
              <w:right w:val="single" w:color="auto" w:sz="4" w:space="0"/>
            </w:tcBorders>
            <w:vAlign w:val="center"/>
          </w:tcPr>
          <w:p w14:paraId="294D8B71">
            <w:pPr>
              <w:autoSpaceDE w:val="0"/>
              <w:autoSpaceDN w:val="0"/>
              <w:adjustRightInd w:val="0"/>
              <w:spacing w:line="560" w:lineRule="exact"/>
              <w:jc w:val="left"/>
              <w:rPr>
                <w:rFonts w:ascii="宋体" w:hAnsi="宋体" w:eastAsia="宋体" w:cs="宋体"/>
                <w:szCs w:val="21"/>
              </w:rPr>
            </w:pPr>
            <w:r>
              <w:rPr>
                <w:rFonts w:hint="eastAsia" w:ascii="宋体" w:hAnsi="宋体" w:cs="宋体"/>
                <w:szCs w:val="21"/>
              </w:rPr>
              <w:t>273组</w:t>
            </w:r>
          </w:p>
        </w:tc>
      </w:tr>
      <w:tr w14:paraId="7FA6A5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71" w:type="dxa"/>
            <w:tcBorders>
              <w:left w:val="single" w:color="auto" w:sz="4" w:space="0"/>
              <w:right w:val="single" w:color="auto" w:sz="4" w:space="0"/>
            </w:tcBorders>
            <w:vAlign w:val="center"/>
          </w:tcPr>
          <w:p w14:paraId="756D9466">
            <w:pPr>
              <w:spacing w:line="560" w:lineRule="exact"/>
              <w:jc w:val="center"/>
              <w:rPr>
                <w:rFonts w:ascii="宋体" w:hAnsi="宋体" w:eastAsia="宋体" w:cs="宋体"/>
                <w:sz w:val="24"/>
                <w:szCs w:val="20"/>
              </w:rPr>
            </w:pPr>
          </w:p>
        </w:tc>
        <w:tc>
          <w:tcPr>
            <w:tcW w:w="995" w:type="dxa"/>
            <w:tcBorders>
              <w:top w:val="single" w:color="auto" w:sz="4" w:space="0"/>
              <w:left w:val="single" w:color="auto" w:sz="4" w:space="0"/>
              <w:bottom w:val="single" w:color="auto" w:sz="4" w:space="0"/>
              <w:right w:val="single" w:color="auto" w:sz="4" w:space="0"/>
            </w:tcBorders>
            <w:vAlign w:val="center"/>
          </w:tcPr>
          <w:p w14:paraId="784A7111">
            <w:pPr>
              <w:spacing w:line="560" w:lineRule="exact"/>
              <w:jc w:val="center"/>
              <w:rPr>
                <w:rFonts w:ascii="宋体" w:hAnsi="宋体" w:eastAsia="宋体" w:cs="宋体"/>
                <w:szCs w:val="21"/>
                <w:lang w:bidi="ar"/>
              </w:rPr>
            </w:pPr>
            <w:r>
              <w:rPr>
                <w:rFonts w:hint="eastAsia" w:ascii="宋体" w:hAnsi="宋体" w:cs="宋体"/>
                <w:szCs w:val="21"/>
                <w:lang w:bidi="ar"/>
              </w:rPr>
              <w:t>5</w:t>
            </w:r>
          </w:p>
        </w:tc>
        <w:tc>
          <w:tcPr>
            <w:tcW w:w="940" w:type="dxa"/>
            <w:tcBorders>
              <w:top w:val="single" w:color="auto" w:sz="4" w:space="0"/>
              <w:left w:val="single" w:color="auto" w:sz="4" w:space="0"/>
              <w:bottom w:val="single" w:color="auto" w:sz="4" w:space="0"/>
              <w:right w:val="single" w:color="auto" w:sz="4" w:space="0"/>
            </w:tcBorders>
            <w:vAlign w:val="center"/>
          </w:tcPr>
          <w:p w14:paraId="0257C896">
            <w:pPr>
              <w:autoSpaceDE w:val="0"/>
              <w:autoSpaceDN w:val="0"/>
              <w:adjustRightInd w:val="0"/>
              <w:spacing w:line="560" w:lineRule="exact"/>
              <w:jc w:val="left"/>
              <w:rPr>
                <w:rFonts w:ascii="宋体" w:hAnsi="宋体" w:cs="宋体"/>
                <w:szCs w:val="21"/>
                <w:lang w:bidi="ar"/>
              </w:rPr>
            </w:pPr>
            <w:r>
              <w:rPr>
                <w:rFonts w:hint="eastAsia" w:ascii="宋体" w:hAnsi="宋体" w:cs="宋体"/>
                <w:szCs w:val="21"/>
                <w:lang w:bidi="ar"/>
              </w:rPr>
              <w:t>公寓椅</w:t>
            </w:r>
          </w:p>
        </w:tc>
        <w:tc>
          <w:tcPr>
            <w:tcW w:w="5235" w:type="dxa"/>
            <w:tcBorders>
              <w:top w:val="single" w:color="auto" w:sz="4" w:space="0"/>
              <w:left w:val="single" w:color="auto" w:sz="4" w:space="0"/>
              <w:bottom w:val="single" w:color="auto" w:sz="4" w:space="0"/>
              <w:right w:val="single" w:color="auto" w:sz="4" w:space="0"/>
            </w:tcBorders>
          </w:tcPr>
          <w:p w14:paraId="329E87CD">
            <w:pPr>
              <w:spacing w:line="560" w:lineRule="exact"/>
              <w:rPr>
                <w:rFonts w:ascii="宋体" w:hAnsi="宋体" w:eastAsia="宋体" w:cs="宋体"/>
                <w:sz w:val="24"/>
                <w:lang w:val="zh-CN"/>
              </w:rPr>
            </w:pPr>
            <w:r>
              <w:rPr>
                <w:rFonts w:hint="eastAsia" w:ascii="宋体" w:hAnsi="宋体" w:eastAsia="宋体" w:cs="宋体"/>
                <w:sz w:val="24"/>
                <w:lang w:val="zh-CN"/>
              </w:rPr>
              <w:t>公寓椅外形规格≥ 800mm×480mm×480mm；</w:t>
            </w:r>
          </w:p>
          <w:p w14:paraId="06CC7FF2">
            <w:pPr>
              <w:spacing w:line="560" w:lineRule="exact"/>
              <w:rPr>
                <w:rFonts w:ascii="宋体" w:hAnsi="宋体" w:eastAsia="宋体" w:cs="宋体"/>
                <w:sz w:val="24"/>
                <w:lang w:val="zh-CN"/>
              </w:rPr>
            </w:pPr>
            <w:r>
              <w:rPr>
                <w:rFonts w:hint="eastAsia" w:ascii="宋体" w:hAnsi="宋体" w:eastAsia="宋体" w:cs="宋体"/>
                <w:sz w:val="24"/>
                <w:lang w:val="zh-CN"/>
              </w:rPr>
              <w:t>● 5.1椅面板：采用改性聚丙烯一次注塑成型，座板两端微翘，前沿向下弧度设计。材质应绿色环保无异味，硬度高、 韧性强；</w:t>
            </w:r>
          </w:p>
          <w:p w14:paraId="6E550A6D">
            <w:pPr>
              <w:spacing w:line="560" w:lineRule="exact"/>
              <w:rPr>
                <w:rFonts w:ascii="宋体" w:hAnsi="宋体" w:eastAsia="宋体" w:cs="宋体"/>
                <w:sz w:val="24"/>
                <w:lang w:val="zh-CN"/>
              </w:rPr>
            </w:pPr>
            <w:r>
              <w:rPr>
                <w:rFonts w:hint="eastAsia" w:ascii="宋体" w:hAnsi="宋体" w:eastAsia="宋体" w:cs="宋体"/>
                <w:sz w:val="24"/>
                <w:lang w:val="zh-CN"/>
              </w:rPr>
              <w:t>5.2椅架：脚架弯管采用≥Φ22mm×2.0mm 圆管。</w:t>
            </w:r>
          </w:p>
          <w:p w14:paraId="4F7DFB8C">
            <w:pPr>
              <w:spacing w:line="560" w:lineRule="exact"/>
              <w:rPr>
                <w:rFonts w:ascii="宋体" w:hAnsi="宋体" w:eastAsia="宋体" w:cs="宋体"/>
                <w:sz w:val="24"/>
                <w:lang w:val="zh-CN"/>
              </w:rPr>
            </w:pPr>
            <w:r>
              <w:rPr>
                <w:rFonts w:hint="eastAsia" w:ascii="宋体" w:hAnsi="宋体" w:eastAsia="宋体" w:cs="宋体"/>
                <w:sz w:val="24"/>
                <w:lang w:val="zh-CN"/>
              </w:rPr>
              <w:t>5.3脚垫：脚架下方带塑料一体成型的内塞。</w:t>
            </w:r>
          </w:p>
          <w:p w14:paraId="4F4577C1">
            <w:pPr>
              <w:widowControl/>
              <w:spacing w:line="560" w:lineRule="exact"/>
              <w:jc w:val="left"/>
              <w:rPr>
                <w:rFonts w:ascii="宋体" w:hAnsi="宋体" w:eastAsia="宋体" w:cs="宋体"/>
                <w:sz w:val="24"/>
              </w:rPr>
            </w:pPr>
            <w:r>
              <w:rPr>
                <w:rFonts w:hint="eastAsia" w:ascii="宋体" w:hAnsi="宋体" w:eastAsia="宋体" w:cs="宋体"/>
                <w:sz w:val="24"/>
                <w:lang w:val="zh-CN"/>
              </w:rPr>
              <w:t>5.4焊接：采用二氧化碳保护焊 CHW5006镀铜焊。</w:t>
            </w:r>
          </w:p>
        </w:tc>
        <w:tc>
          <w:tcPr>
            <w:tcW w:w="657" w:type="dxa"/>
            <w:tcBorders>
              <w:top w:val="single" w:color="auto" w:sz="4" w:space="0"/>
              <w:left w:val="single" w:color="auto" w:sz="4" w:space="0"/>
              <w:bottom w:val="single" w:color="auto" w:sz="4" w:space="0"/>
              <w:right w:val="single" w:color="auto" w:sz="4" w:space="0"/>
            </w:tcBorders>
            <w:vAlign w:val="center"/>
          </w:tcPr>
          <w:p w14:paraId="6EECB547">
            <w:pPr>
              <w:autoSpaceDE w:val="0"/>
              <w:autoSpaceDN w:val="0"/>
              <w:adjustRightInd w:val="0"/>
              <w:spacing w:line="560" w:lineRule="exact"/>
              <w:jc w:val="left"/>
              <w:rPr>
                <w:rFonts w:ascii="宋体" w:hAnsi="宋体" w:eastAsia="宋体" w:cs="宋体"/>
                <w:szCs w:val="21"/>
              </w:rPr>
            </w:pPr>
            <w:r>
              <w:rPr>
                <w:rFonts w:hint="eastAsia" w:ascii="宋体" w:hAnsi="宋体" w:cs="宋体"/>
                <w:szCs w:val="21"/>
              </w:rPr>
              <w:t>1092张</w:t>
            </w:r>
          </w:p>
        </w:tc>
      </w:tr>
    </w:tbl>
    <w:p w14:paraId="7E565EFA">
      <w:pPr>
        <w:pStyle w:val="3"/>
        <w:widowControl/>
        <w:shd w:val="clear" w:color="auto" w:fill="FFFFFF"/>
        <w:spacing w:beforeAutospacing="0" w:after="86" w:afterAutospacing="0" w:line="560" w:lineRule="exact"/>
        <w:jc w:val="both"/>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（二）其他要求</w:t>
      </w:r>
    </w:p>
    <w:p w14:paraId="65E7A2CA">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 xml:space="preserve">1、在投标文件中提供的检测报告、证书等材料须确保真实性。且中标提供的上述材料，须在合同签订后 3 个工作日内送到采购人处核验，采购人有权核实上述材料，如在规定时间内不能按要求提供或经审核不能通过，采购人有权追究违约责任，并上报政府采购监管部门进行处理。由此产生的责任与后果均由中标人承担。 </w:t>
      </w:r>
    </w:p>
    <w:p w14:paraId="5522F3FD">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2、须在合同签订后 10个日历日内，提供符合技术参数要求的主要标的物实物样品 1 组到采购人指定位置，由采购人核查材料、配件等，如与招标文件、投标文件不一致的，采购人将拒绝接受货物，采购人有权追究违约责任，并上报政府采购监管部门进行处理。由此产生的责任与后果均由中标人承担。</w:t>
      </w:r>
    </w:p>
    <w:p w14:paraId="5F59B462">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3、采购人有权不定期对中标人的生产过程进行质量和工艺的监督，一旦发现违反相关约定，中标人应无条件自行纠正，由此造成的损失由中标人承担，情节严重的招标人可解除合同并扣除中标人履约保证金。</w:t>
      </w:r>
    </w:p>
    <w:p w14:paraId="7CE6BC00">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4、家具到货之后如出现不环保、异味大等现象，导致采购人无法正常使用，采购人委托第三方检测机构进行产品检测（费用由中标人承担），若中标人提供的家具不合格，应及时按采购人要求无条件更换，更换后仍不能让采购人满意的，应按采购人要求退货，期间所产生的费用应由中标人承担。</w:t>
      </w:r>
    </w:p>
    <w:p w14:paraId="3B0C534D">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 xml:space="preserve">以上要求投标文件中须提供承诺函，未提供承诺或承诺内容不全的将导致投标无效。 </w:t>
      </w:r>
    </w:p>
    <w:p w14:paraId="62E47501">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5、本项目报总价，投标报价包括货物从设计、采购、制造、交货 （包括运输至采购人指定地点卸车就位）至验收和售后服务的一切费用（如设计费、采购费、制造费、试验检测费、包装费、运输保险费、运输费、装卸费、验收费、其他技术服务及质保期服务费、管理费、利润和税金等），以及采购合同中明示或暗示的所有责任、义务和风险。采购人后期不予追加任何费用，请投标人综合考虑各种风险，谨慎报价。</w:t>
      </w:r>
    </w:p>
    <w:p w14:paraId="09F441F4">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6、中标人应保证安装完成后现场整洁，无污染，并作好外包装的清除与现场保护工作，若现场因安装过程造成了破坏，中标人负责恢复原装，并承担相应的赔偿责任。</w:t>
      </w:r>
    </w:p>
    <w:p w14:paraId="67BFD237">
      <w:pPr>
        <w:spacing w:line="560" w:lineRule="exact"/>
        <w:rPr>
          <w:rFonts w:ascii="仿宋_GB2312" w:hAnsi="仿宋_GB2312" w:eastAsia="仿宋_GB2312" w:cs="仿宋_GB2312"/>
          <w:b/>
          <w:bCs/>
          <w:color w:val="333333"/>
          <w:kern w:val="0"/>
          <w:sz w:val="28"/>
          <w:szCs w:val="28"/>
          <w:shd w:val="clear" w:color="auto" w:fill="FFFFFF"/>
          <w:lang w:bidi="ar"/>
        </w:rPr>
      </w:pPr>
      <w:r>
        <w:rPr>
          <w:rFonts w:hint="eastAsia" w:ascii="仿宋_GB2312" w:hAnsi="仿宋_GB2312" w:eastAsia="仿宋_GB2312" w:cs="仿宋_GB2312"/>
          <w:b/>
          <w:bCs/>
          <w:color w:val="333333"/>
          <w:kern w:val="0"/>
          <w:sz w:val="28"/>
          <w:szCs w:val="28"/>
          <w:shd w:val="clear" w:color="auto" w:fill="FFFFFF"/>
          <w:lang w:bidi="ar"/>
        </w:rPr>
        <w:t>四、商务部分调研</w:t>
      </w:r>
    </w:p>
    <w:p w14:paraId="6F9DF273">
      <w:pPr>
        <w:spacing w:line="560" w:lineRule="exact"/>
        <w:rPr>
          <w:rFonts w:ascii="仿宋_GB2312" w:hAnsi="仿宋_GB2312" w:eastAsia="仿宋_GB2312" w:cs="仿宋_GB2312"/>
          <w:color w:val="333333"/>
          <w:kern w:val="0"/>
          <w:sz w:val="28"/>
          <w:szCs w:val="28"/>
          <w:shd w:val="clear" w:color="auto" w:fill="FFFFFF"/>
          <w:lang w:val="zh-CN" w:bidi="ar"/>
        </w:rPr>
      </w:pPr>
      <w:r>
        <w:rPr>
          <w:rFonts w:hint="eastAsia" w:ascii="仿宋_GB2312" w:hAnsi="仿宋_GB2312" w:eastAsia="仿宋_GB2312" w:cs="仿宋_GB2312"/>
          <w:b/>
          <w:bCs/>
          <w:color w:val="333333"/>
          <w:kern w:val="0"/>
          <w:sz w:val="28"/>
          <w:szCs w:val="28"/>
          <w:shd w:val="clear" w:color="auto" w:fill="FFFFFF"/>
          <w:lang w:bidi="ar"/>
        </w:rPr>
        <w:t>（一）认证证书</w:t>
      </w:r>
      <w:r>
        <w:rPr>
          <w:rFonts w:hint="eastAsia" w:ascii="仿宋_GB2312" w:hAnsi="仿宋_GB2312" w:eastAsia="仿宋_GB2312" w:cs="仿宋_GB2312"/>
          <w:color w:val="333333"/>
          <w:kern w:val="0"/>
          <w:sz w:val="28"/>
          <w:szCs w:val="28"/>
          <w:shd w:val="clear" w:color="auto" w:fill="FFFFFF"/>
          <w:lang w:bidi="ar"/>
        </w:rPr>
        <w:t>（具有经中国国家认证认可监督管理委员会认证机构颁发的且在有效期内的认证，提供证书扫描件以及全国认证认可信息公共服务平台官网认证信息查询截图，</w:t>
      </w:r>
      <w:r>
        <w:rPr>
          <w:rFonts w:hint="eastAsia" w:ascii="仿宋_GB2312" w:hAnsi="仿宋_GB2312" w:eastAsia="仿宋_GB2312" w:cs="仿宋_GB2312"/>
          <w:color w:val="333333"/>
          <w:kern w:val="0"/>
          <w:sz w:val="28"/>
          <w:szCs w:val="28"/>
          <w:shd w:val="clear" w:color="auto" w:fill="FFFFFF"/>
          <w:lang w:val="zh-CN" w:bidi="ar"/>
        </w:rPr>
        <w:t>具备请打“√”</w:t>
      </w:r>
      <w:r>
        <w:rPr>
          <w:rFonts w:hint="eastAsia" w:ascii="仿宋_GB2312" w:hAnsi="仿宋_GB2312" w:eastAsia="仿宋_GB2312" w:cs="仿宋_GB2312"/>
          <w:color w:val="333333"/>
          <w:kern w:val="0"/>
          <w:sz w:val="28"/>
          <w:szCs w:val="28"/>
          <w:shd w:val="clear" w:color="auto" w:fill="FFFFFF"/>
          <w:lang w:bidi="ar"/>
        </w:rPr>
        <w:t>）</w:t>
      </w:r>
    </w:p>
    <w:p w14:paraId="2082C4E6">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1.</w:t>
      </w: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低VOCs家具产品认证证书，产品认证单元需包含：金属家具、木家具；</w:t>
      </w:r>
    </w:p>
    <w:p w14:paraId="58DC9C21">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2.</w:t>
      </w: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家具产品有害物质限量认证证书，产品认证单元需包含：金属家具、木制家具、家具；</w:t>
      </w:r>
    </w:p>
    <w:p w14:paraId="7A470FF4">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3.</w:t>
      </w: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防火阻燃质量等级认证证书 ，认证单元需包含：钢木家具：椅凳类、柜架类、床类；</w:t>
      </w:r>
    </w:p>
    <w:p w14:paraId="276AC4B0">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4.</w:t>
      </w: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val="zh-CN" w:bidi="ar"/>
        </w:rPr>
        <w:t>家具产品环保卫士认证证书，</w:t>
      </w:r>
      <w:r>
        <w:rPr>
          <w:rFonts w:hint="eastAsia" w:ascii="仿宋_GB2312" w:hAnsi="仿宋_GB2312" w:eastAsia="仿宋_GB2312" w:cs="仿宋_GB2312"/>
          <w:color w:val="333333"/>
          <w:kern w:val="0"/>
          <w:sz w:val="28"/>
          <w:szCs w:val="28"/>
          <w:shd w:val="clear" w:color="auto" w:fill="FFFFFF"/>
          <w:lang w:bidi="ar"/>
        </w:rPr>
        <w:t>产品认证单元需包含：金属家具、木制家具；</w:t>
      </w:r>
    </w:p>
    <w:p w14:paraId="3B849C22">
      <w:pPr>
        <w:spacing w:line="560" w:lineRule="exact"/>
        <w:rPr>
          <w:rFonts w:ascii="仿宋_GB2312" w:hAnsi="仿宋_GB2312" w:eastAsia="仿宋_GB2312" w:cs="仿宋_GB2312"/>
          <w:color w:val="333333"/>
          <w:kern w:val="0"/>
          <w:sz w:val="28"/>
          <w:szCs w:val="28"/>
          <w:shd w:val="clear" w:color="auto" w:fill="FFFFFF"/>
          <w:lang w:val="zh-CN" w:bidi="ar"/>
        </w:rPr>
      </w:pPr>
      <w:r>
        <w:rPr>
          <w:rFonts w:hint="eastAsia" w:ascii="仿宋_GB2312" w:hAnsi="仿宋_GB2312" w:eastAsia="仿宋_GB2312" w:cs="仿宋_GB2312"/>
          <w:color w:val="333333"/>
          <w:kern w:val="0"/>
          <w:sz w:val="28"/>
          <w:szCs w:val="28"/>
          <w:shd w:val="clear" w:color="auto" w:fill="FFFFFF"/>
          <w:lang w:bidi="ar"/>
        </w:rPr>
        <w:t>5.</w:t>
      </w: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中国绿色产品认证证书，</w:t>
      </w:r>
      <w:r>
        <w:rPr>
          <w:rFonts w:hint="eastAsia" w:ascii="仿宋_GB2312" w:hAnsi="仿宋_GB2312" w:eastAsia="仿宋_GB2312" w:cs="仿宋_GB2312"/>
          <w:color w:val="333333"/>
          <w:kern w:val="0"/>
          <w:sz w:val="28"/>
          <w:szCs w:val="28"/>
          <w:shd w:val="clear" w:color="auto" w:fill="FFFFFF"/>
          <w:lang w:val="zh-CN" w:bidi="ar"/>
        </w:rPr>
        <w:t>认证单元</w:t>
      </w:r>
      <w:r>
        <w:rPr>
          <w:rFonts w:hint="eastAsia" w:ascii="仿宋_GB2312" w:hAnsi="仿宋_GB2312" w:eastAsia="仿宋_GB2312" w:cs="仿宋_GB2312"/>
          <w:color w:val="333333"/>
          <w:kern w:val="0"/>
          <w:sz w:val="28"/>
          <w:szCs w:val="28"/>
          <w:shd w:val="clear" w:color="auto" w:fill="FFFFFF"/>
          <w:lang w:bidi="ar"/>
        </w:rPr>
        <w:t>需包含</w:t>
      </w:r>
      <w:r>
        <w:rPr>
          <w:rFonts w:hint="eastAsia" w:ascii="仿宋_GB2312" w:hAnsi="仿宋_GB2312" w:eastAsia="仿宋_GB2312" w:cs="仿宋_GB2312"/>
          <w:color w:val="333333"/>
          <w:kern w:val="0"/>
          <w:sz w:val="28"/>
          <w:szCs w:val="28"/>
          <w:shd w:val="clear" w:color="auto" w:fill="FFFFFF"/>
          <w:lang w:val="zh-CN" w:bidi="ar"/>
        </w:rPr>
        <w:t>:金属家具椅类、柜类、床类</w:t>
      </w:r>
    </w:p>
    <w:p w14:paraId="67AD30E3">
      <w:pPr>
        <w:spacing w:line="560" w:lineRule="exact"/>
        <w:rPr>
          <w:rFonts w:ascii="仿宋_GB2312" w:hAnsi="仿宋_GB2312" w:eastAsia="仿宋_GB2312" w:cs="仿宋_GB2312"/>
          <w:b/>
          <w:bCs/>
          <w:color w:val="333333"/>
          <w:kern w:val="0"/>
          <w:sz w:val="28"/>
          <w:szCs w:val="28"/>
          <w:shd w:val="clear" w:color="auto" w:fill="FFFFFF"/>
          <w:lang w:bidi="ar"/>
        </w:rPr>
      </w:pPr>
      <w:r>
        <w:rPr>
          <w:rFonts w:hint="eastAsia" w:ascii="仿宋_GB2312" w:hAnsi="仿宋_GB2312" w:eastAsia="仿宋_GB2312" w:cs="仿宋_GB2312"/>
          <w:b/>
          <w:bCs/>
          <w:color w:val="333333"/>
          <w:kern w:val="0"/>
          <w:sz w:val="28"/>
          <w:szCs w:val="28"/>
          <w:shd w:val="clear" w:color="auto" w:fill="FFFFFF"/>
          <w:lang w:val="zh-CN" w:bidi="ar"/>
        </w:rPr>
        <w:t>（</w:t>
      </w:r>
      <w:r>
        <w:rPr>
          <w:rFonts w:hint="eastAsia" w:ascii="仿宋_GB2312" w:hAnsi="仿宋_GB2312" w:eastAsia="仿宋_GB2312" w:cs="仿宋_GB2312"/>
          <w:b/>
          <w:bCs/>
          <w:color w:val="333333"/>
          <w:kern w:val="0"/>
          <w:sz w:val="28"/>
          <w:szCs w:val="28"/>
          <w:shd w:val="clear" w:color="auto" w:fill="FFFFFF"/>
          <w:lang w:bidi="ar"/>
        </w:rPr>
        <w:t>二</w:t>
      </w:r>
      <w:r>
        <w:rPr>
          <w:rFonts w:hint="eastAsia" w:ascii="仿宋_GB2312" w:hAnsi="仿宋_GB2312" w:eastAsia="仿宋_GB2312" w:cs="仿宋_GB2312"/>
          <w:b/>
          <w:bCs/>
          <w:color w:val="333333"/>
          <w:kern w:val="0"/>
          <w:sz w:val="28"/>
          <w:szCs w:val="28"/>
          <w:shd w:val="clear" w:color="auto" w:fill="FFFFFF"/>
          <w:lang w:val="zh-CN" w:bidi="ar"/>
        </w:rPr>
        <w:t>）</w:t>
      </w:r>
      <w:r>
        <w:rPr>
          <w:rFonts w:hint="eastAsia" w:ascii="仿宋_GB2312" w:hAnsi="仿宋_GB2312" w:eastAsia="仿宋_GB2312" w:cs="仿宋_GB2312"/>
          <w:b/>
          <w:bCs/>
          <w:color w:val="333333"/>
          <w:kern w:val="0"/>
          <w:sz w:val="28"/>
          <w:szCs w:val="28"/>
          <w:shd w:val="clear" w:color="auto" w:fill="FFFFFF"/>
          <w:lang w:bidi="ar"/>
        </w:rPr>
        <w:t>所投产品检测报告</w:t>
      </w:r>
    </w:p>
    <w:p w14:paraId="391E490C">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提供具有 CMA 及 CNAS 标识的满足要求的检测报告（受检单位为投标人）扫描件及全国认证认可信息公共服务平台官网的查询截图，</w:t>
      </w:r>
      <w:r>
        <w:rPr>
          <w:rFonts w:hint="eastAsia" w:ascii="仿宋_GB2312" w:hAnsi="仿宋_GB2312" w:eastAsia="仿宋_GB2312" w:cs="仿宋_GB2312"/>
          <w:b/>
          <w:color w:val="333333"/>
          <w:kern w:val="0"/>
          <w:sz w:val="28"/>
          <w:szCs w:val="28"/>
          <w:shd w:val="clear" w:color="auto" w:fill="FFFFFF"/>
          <w:lang w:val="zh-CN" w:bidi="ar"/>
        </w:rPr>
        <w:t>具备请打“√”，如不具备请标注原因</w:t>
      </w:r>
      <w:r>
        <w:rPr>
          <w:rFonts w:hint="eastAsia" w:ascii="仿宋_GB2312" w:hAnsi="仿宋_GB2312" w:eastAsia="仿宋_GB2312" w:cs="仿宋_GB2312"/>
          <w:color w:val="333333"/>
          <w:kern w:val="0"/>
          <w:sz w:val="28"/>
          <w:szCs w:val="28"/>
          <w:shd w:val="clear" w:color="auto" w:fill="FFFFFF"/>
          <w:lang w:val="zh-CN" w:bidi="ar"/>
        </w:rPr>
        <w:t>）</w:t>
      </w:r>
    </w:p>
    <w:p w14:paraId="262C4494">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1、</w:t>
      </w: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带有“CMA及CNAS”标识的学生公寓组合床检验检测报告扫描件, 检验依据至少包含：GB/T35607-2024、GB/T228.1-2021、GB8624-2012、GB/T6739-2022、GB/T3325-2024，检验项目包含而不限于：1.抗拉强度：检验结果≥380MPa。2.上屈服强度（屈服强度），产品技术要求：≥220MPa，检验结果为合格。3.断后伸长率，产品技术要求：≥35%，检验结果为合格。4.材料要求：木材含水率，木材应经干燥处理，木材含水率应为8%～（产品所在地区年平均木材平衡含水率+1%），检验结果为合格。5.燃烧性能：燃烧性能等级-B1-硬质家具:热释放速率峰值≤200kW、5min内总热释放量≤30MJ、最大烟密度≤75%，检验结果均为合格。6.理化性能：产品表面理化性能-金属喷漆（塑）涂层-硬度，铅笔硬度H，应无塑性变形和/或内聚破坏，检验结果为合格。7.环境属性：①产品有害物质-甲醛释放量（气候箱法）≤0.05mg/m</w:t>
      </w:r>
      <w:r>
        <w:rPr>
          <w:rFonts w:hint="eastAsia" w:ascii="宋体" w:hAnsi="宋体" w:eastAsia="宋体" w:cs="宋体"/>
          <w:color w:val="333333"/>
          <w:kern w:val="0"/>
          <w:sz w:val="28"/>
          <w:szCs w:val="28"/>
          <w:shd w:val="clear" w:color="auto" w:fill="FFFFFF"/>
          <w:lang w:bidi="ar"/>
        </w:rPr>
        <w:t>³</w:t>
      </w:r>
      <w:r>
        <w:rPr>
          <w:rFonts w:hint="eastAsia" w:ascii="仿宋_GB2312" w:hAnsi="仿宋_GB2312" w:eastAsia="仿宋_GB2312" w:cs="仿宋_GB2312"/>
          <w:color w:val="333333"/>
          <w:kern w:val="0"/>
          <w:sz w:val="28"/>
          <w:szCs w:val="28"/>
          <w:shd w:val="clear" w:color="auto" w:fill="FFFFFF"/>
          <w:lang w:bidi="ar"/>
        </w:rPr>
        <w:t>，检验结果为合格。②产品有害物质-苯≤0.05mg/m</w:t>
      </w:r>
      <w:r>
        <w:rPr>
          <w:rFonts w:hint="eastAsia" w:ascii="宋体" w:hAnsi="宋体" w:eastAsia="宋体" w:cs="宋体"/>
          <w:color w:val="333333"/>
          <w:kern w:val="0"/>
          <w:sz w:val="28"/>
          <w:szCs w:val="28"/>
          <w:shd w:val="clear" w:color="auto" w:fill="FFFFFF"/>
          <w:lang w:bidi="ar"/>
        </w:rPr>
        <w:t>³</w:t>
      </w:r>
      <w:r>
        <w:rPr>
          <w:rFonts w:hint="eastAsia" w:ascii="仿宋_GB2312" w:hAnsi="仿宋_GB2312" w:eastAsia="仿宋_GB2312" w:cs="仿宋_GB2312"/>
          <w:color w:val="333333"/>
          <w:kern w:val="0"/>
          <w:sz w:val="28"/>
          <w:szCs w:val="28"/>
          <w:shd w:val="clear" w:color="auto" w:fill="FFFFFF"/>
          <w:lang w:bidi="ar"/>
        </w:rPr>
        <w:t>，检验结果为合格。</w:t>
      </w:r>
    </w:p>
    <w:p w14:paraId="342C0B19">
      <w:pPr>
        <w:spacing w:line="560" w:lineRule="exact"/>
        <w:rPr>
          <w:rFonts w:ascii="仿宋_GB2312" w:hAnsi="仿宋_GB2312" w:eastAsia="仿宋_GB2312" w:cs="仿宋_GB2312"/>
          <w:b/>
          <w:color w:val="333333"/>
          <w:kern w:val="0"/>
          <w:sz w:val="28"/>
          <w:szCs w:val="28"/>
          <w:u w:val="single"/>
          <w:shd w:val="clear" w:color="auto" w:fill="FFFFFF"/>
          <w:lang w:bidi="ar"/>
        </w:rPr>
      </w:pPr>
      <w:r>
        <w:rPr>
          <w:rFonts w:hint="eastAsia" w:ascii="仿宋_GB2312" w:hAnsi="仿宋_GB2312" w:eastAsia="仿宋_GB2312" w:cs="仿宋_GB2312"/>
          <w:b/>
          <w:color w:val="333333"/>
          <w:kern w:val="0"/>
          <w:sz w:val="28"/>
          <w:szCs w:val="28"/>
          <w:u w:val="single"/>
          <w:shd w:val="clear" w:color="auto" w:fill="FFFFFF"/>
          <w:lang w:bidi="ar"/>
        </w:rPr>
        <w:t xml:space="preserve">不具备的原因：                                                              </w:t>
      </w:r>
    </w:p>
    <w:p w14:paraId="6B28D2D5">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2、</w:t>
      </w: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 xml:space="preserve">带有“CMA及CNAS”标识的衣柜检验检测报告扫描件, 检验依据至少包含：GB/T 35607-2024、GB6675.4-2014，检验项目包含但不限于：①形状和位置公差：分缝判定结果为合格； ②力学性能要求：柜类强度和耐久性-跌落试验、柜类稳定性-搁板水平加载稳定性试验判定结果为合格； ③安全性要求：有害物质限量-甲醛释放量判定结果为合格； ④品质属性:产品寿命-柜类-拉门耐久性判定结果为合格；⑤环境属性：产品有害物质-家具涂层可迁移元素-铅Pb≤90mg/kg、镉Cd≤50mg/kg、铬Cr≤25mg/kg、汞Hg≤25mg/kg、锑Sb≤60mg/kg、钡Ba≤1000mg/kg、硒Se≤500mg/kg、砷As≤25mg/kg判定结果为合格。 </w:t>
      </w:r>
    </w:p>
    <w:p w14:paraId="11745431">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b/>
          <w:color w:val="333333"/>
          <w:kern w:val="0"/>
          <w:sz w:val="28"/>
          <w:szCs w:val="28"/>
          <w:u w:val="single"/>
          <w:shd w:val="clear" w:color="auto" w:fill="FFFFFF"/>
          <w:lang w:bidi="ar"/>
        </w:rPr>
        <w:t xml:space="preserve">不具备的原因：                                               </w:t>
      </w:r>
    </w:p>
    <w:p w14:paraId="7FE90A06">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3、</w:t>
      </w: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带有“CMA及CNAS”标识的公寓椅检验检测报告扫描件, 检验依据至少包含：GB/T 32487-2016、QB/T 3832-1999、 QB/T 3827-1999， 检验项目包含但不限于：①金属表面耐腐蚀试验：乙酸盐雾试验 (ASS)法 300h-涂（镀）层对基体的保护等级 10 级，涂（镀）层本身的耐 腐蚀等级 10 级；②塑料材料理化性能：耐老化性-室内用 500h、冲击强 度判定结果为合格。</w:t>
      </w:r>
    </w:p>
    <w:p w14:paraId="2EF0B63B">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b/>
          <w:color w:val="333333"/>
          <w:kern w:val="0"/>
          <w:sz w:val="28"/>
          <w:szCs w:val="28"/>
          <w:u w:val="single"/>
          <w:shd w:val="clear" w:color="auto" w:fill="FFFFFF"/>
          <w:lang w:bidi="ar"/>
        </w:rPr>
        <w:t xml:space="preserve">不具备的原因：                                               </w:t>
      </w:r>
    </w:p>
    <w:p w14:paraId="0A502BBA">
      <w:pPr>
        <w:spacing w:line="560" w:lineRule="exact"/>
        <w:rPr>
          <w:rFonts w:ascii="仿宋_GB2312" w:hAnsi="仿宋_GB2312" w:eastAsia="仿宋_GB2312" w:cs="仿宋_GB2312"/>
          <w:b/>
          <w:bCs/>
          <w:color w:val="333333"/>
          <w:kern w:val="0"/>
          <w:sz w:val="28"/>
          <w:szCs w:val="28"/>
          <w:shd w:val="clear" w:color="auto" w:fill="FFFFFF"/>
          <w:lang w:bidi="ar"/>
        </w:rPr>
      </w:pPr>
      <w:r>
        <w:rPr>
          <w:rFonts w:hint="eastAsia" w:ascii="仿宋_GB2312" w:hAnsi="仿宋_GB2312" w:eastAsia="仿宋_GB2312" w:cs="仿宋_GB2312"/>
          <w:b/>
          <w:bCs/>
          <w:color w:val="333333"/>
          <w:kern w:val="0"/>
          <w:sz w:val="28"/>
          <w:szCs w:val="28"/>
          <w:shd w:val="clear" w:color="auto" w:fill="FFFFFF"/>
          <w:lang w:bidi="ar"/>
        </w:rPr>
        <w:t>（三）投标人实力</w:t>
      </w:r>
    </w:p>
    <w:p w14:paraId="3A7699A2">
      <w:pPr>
        <w:spacing w:line="560" w:lineRule="exact"/>
        <w:rPr>
          <w:rFonts w:ascii="仿宋_GB2312" w:hAnsi="仿宋_GB2312" w:eastAsia="仿宋_GB2312" w:cs="仿宋_GB2312"/>
          <w:color w:val="333333"/>
          <w:kern w:val="0"/>
          <w:sz w:val="28"/>
          <w:szCs w:val="28"/>
          <w:shd w:val="clear" w:color="auto" w:fill="FFFFFF"/>
          <w:lang w:val="zh-CN" w:bidi="ar"/>
        </w:rPr>
      </w:pPr>
      <w:r>
        <w:rPr>
          <w:rFonts w:hint="eastAsia" w:ascii="仿宋_GB2312" w:hAnsi="仿宋_GB2312" w:eastAsia="仿宋_GB2312" w:cs="仿宋_GB2312"/>
          <w:color w:val="333333"/>
          <w:kern w:val="0"/>
          <w:sz w:val="28"/>
          <w:szCs w:val="28"/>
          <w:shd w:val="clear" w:color="auto" w:fill="FFFFFF"/>
          <w:lang w:val="zh-CN" w:bidi="ar"/>
        </w:rPr>
        <w:t>具有与本项目相关的生产和加工专业设备（具备请打“√”）</w:t>
      </w:r>
    </w:p>
    <w:p w14:paraId="2CC5584F">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 xml:space="preserve">电子开料锯 </w:t>
      </w:r>
      <w:r>
        <w:rPr>
          <w:rFonts w:hint="eastAsia" w:ascii="仿宋" w:hAnsi="仿宋" w:eastAsia="仿宋" w:cs="方正仿宋_GB2312"/>
          <w:sz w:val="32"/>
          <w:szCs w:val="32"/>
        </w:rPr>
        <w:sym w:font="Wingdings" w:char="00A8"/>
      </w:r>
      <w:r>
        <w:rPr>
          <w:rFonts w:hint="eastAsia" w:ascii="仿宋" w:hAnsi="仿宋" w:eastAsia="仿宋" w:cs="方正仿宋_GB2312"/>
          <w:sz w:val="32"/>
          <w:szCs w:val="32"/>
        </w:rPr>
        <w:t>全自动数控</w:t>
      </w:r>
      <w:r>
        <w:rPr>
          <w:rFonts w:hint="eastAsia" w:ascii="仿宋_GB2312" w:hAnsi="仿宋_GB2312" w:eastAsia="仿宋_GB2312" w:cs="仿宋_GB2312"/>
          <w:color w:val="333333"/>
          <w:kern w:val="0"/>
          <w:sz w:val="28"/>
          <w:szCs w:val="28"/>
          <w:shd w:val="clear" w:color="auto" w:fill="FFFFFF"/>
          <w:lang w:bidi="ar"/>
        </w:rPr>
        <w:t>弯管机</w:t>
      </w: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废气除尘设备废气处理设备</w:t>
      </w:r>
    </w:p>
    <w:p w14:paraId="176B05DF">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光纤激光切割机</w:t>
      </w: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异型拉管机</w:t>
      </w:r>
      <w:r>
        <w:rPr>
          <w:rFonts w:hint="eastAsia" w:ascii="仿宋" w:hAnsi="仿宋" w:eastAsia="仿宋" w:cs="方正仿宋_GB2312"/>
          <w:sz w:val="32"/>
          <w:szCs w:val="32"/>
        </w:rPr>
        <w:sym w:font="Wingdings" w:char="00A8"/>
      </w:r>
      <w:r>
        <w:rPr>
          <w:rFonts w:hint="eastAsia" w:ascii="仿宋" w:hAnsi="仿宋" w:eastAsia="仿宋" w:cs="方正仿宋_GB2312"/>
          <w:sz w:val="32"/>
          <w:szCs w:val="32"/>
        </w:rPr>
        <w:t>焊接</w:t>
      </w:r>
      <w:r>
        <w:rPr>
          <w:rFonts w:hint="eastAsia" w:ascii="仿宋_GB2312" w:hAnsi="仿宋_GB2312" w:eastAsia="仿宋_GB2312" w:cs="仿宋_GB2312"/>
          <w:color w:val="333333"/>
          <w:kern w:val="0"/>
          <w:sz w:val="28"/>
          <w:szCs w:val="28"/>
          <w:shd w:val="clear" w:color="auto" w:fill="FFFFFF"/>
          <w:lang w:bidi="ar"/>
        </w:rPr>
        <w:t>机器人</w:t>
      </w:r>
    </w:p>
    <w:p w14:paraId="75967998">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 xml:space="preserve"> 数控加工中心设备</w:t>
      </w:r>
      <w:r>
        <w:rPr>
          <w:rFonts w:hint="eastAsia" w:ascii="仿宋" w:hAnsi="仿宋" w:eastAsia="仿宋" w:cs="方正仿宋_GB2312"/>
          <w:sz w:val="32"/>
          <w:szCs w:val="32"/>
        </w:rPr>
        <w:sym w:font="Wingdings" w:char="00A8"/>
      </w:r>
      <w:r>
        <w:rPr>
          <w:rFonts w:hint="eastAsia" w:ascii="仿宋_GB2312" w:hAnsi="仿宋_GB2312" w:eastAsia="仿宋_GB2312" w:cs="仿宋_GB2312"/>
          <w:color w:val="333333"/>
          <w:kern w:val="0"/>
          <w:sz w:val="28"/>
          <w:szCs w:val="28"/>
          <w:shd w:val="clear" w:color="auto" w:fill="FFFFFF"/>
          <w:lang w:bidi="ar"/>
        </w:rPr>
        <w:t>自动喷涂线</w:t>
      </w:r>
      <w:r>
        <w:rPr>
          <w:rFonts w:ascii="仿宋_GB2312" w:hAnsi="仿宋_GB2312" w:eastAsia="仿宋_GB2312" w:cs="仿宋_GB2312"/>
          <w:color w:val="333333"/>
          <w:kern w:val="0"/>
          <w:sz w:val="28"/>
          <w:szCs w:val="28"/>
          <w:shd w:val="clear" w:color="auto" w:fill="FFFFFF"/>
          <w:lang w:bidi="ar"/>
        </w:rPr>
        <w:t xml:space="preserve"> </w:t>
      </w:r>
    </w:p>
    <w:p w14:paraId="2B981DA5">
      <w:pPr>
        <w:spacing w:line="560" w:lineRule="exact"/>
        <w:rPr>
          <w:rFonts w:ascii="仿宋" w:hAnsi="仿宋" w:eastAsia="仿宋" w:cs="方正仿宋_GB2312"/>
          <w:sz w:val="32"/>
          <w:szCs w:val="32"/>
          <w:u w:val="single"/>
        </w:rPr>
      </w:pPr>
      <w:r>
        <w:rPr>
          <w:rFonts w:hint="eastAsia" w:ascii="仿宋" w:hAnsi="仿宋" w:eastAsia="仿宋" w:cs="方正仿宋_GB2312"/>
          <w:sz w:val="32"/>
          <w:szCs w:val="32"/>
        </w:rPr>
        <w:t>其他：</w:t>
      </w:r>
      <w:r>
        <w:rPr>
          <w:rFonts w:hint="eastAsia" w:ascii="仿宋" w:hAnsi="仿宋" w:eastAsia="仿宋" w:cs="方正仿宋_GB2312"/>
          <w:sz w:val="32"/>
          <w:szCs w:val="32"/>
          <w:u w:val="single"/>
        </w:rPr>
        <w:t xml:space="preserve">                                          </w:t>
      </w:r>
    </w:p>
    <w:p w14:paraId="050E7F2E">
      <w:pPr>
        <w:spacing w:line="560" w:lineRule="exact"/>
        <w:rPr>
          <w:rFonts w:ascii="仿宋_GB2312" w:hAnsi="仿宋_GB2312" w:eastAsia="仿宋_GB2312" w:cs="仿宋_GB2312"/>
          <w:color w:val="333333"/>
          <w:kern w:val="0"/>
          <w:sz w:val="28"/>
          <w:szCs w:val="28"/>
          <w:shd w:val="clear" w:color="auto" w:fill="FFFFFF"/>
          <w:lang w:val="zh-CN" w:bidi="ar"/>
        </w:rPr>
      </w:pPr>
      <w:r>
        <w:rPr>
          <w:rFonts w:hint="eastAsia" w:ascii="仿宋_GB2312" w:hAnsi="仿宋_GB2312" w:eastAsia="仿宋_GB2312" w:cs="仿宋_GB2312"/>
          <w:color w:val="333333"/>
          <w:kern w:val="0"/>
          <w:sz w:val="28"/>
          <w:szCs w:val="28"/>
          <w:shd w:val="clear" w:color="auto" w:fill="FFFFFF"/>
          <w:lang w:bidi="ar"/>
        </w:rPr>
        <w:t xml:space="preserve">备注： </w:t>
      </w:r>
    </w:p>
    <w:p w14:paraId="236CC28E">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（1）如为自有：投标时须提供设备的购置合同和购置发票扫描件、现场实物照片；</w:t>
      </w:r>
    </w:p>
    <w:p w14:paraId="5F46E72B">
      <w:pPr>
        <w:spacing w:line="560" w:lineRule="exact"/>
        <w:rPr>
          <w:rFonts w:ascii="仿宋_GB2312" w:hAnsi="仿宋_GB2312" w:eastAsia="仿宋_GB2312" w:cs="仿宋_GB2312"/>
          <w:color w:val="333333"/>
          <w:kern w:val="0"/>
          <w:sz w:val="28"/>
          <w:szCs w:val="28"/>
          <w:shd w:val="clear" w:color="auto" w:fill="FFFFFF"/>
          <w:lang w:val="zh-CN" w:bidi="ar"/>
        </w:rPr>
      </w:pPr>
      <w:r>
        <w:rPr>
          <w:rFonts w:hint="eastAsia" w:ascii="仿宋_GB2312" w:hAnsi="仿宋_GB2312" w:eastAsia="仿宋_GB2312" w:cs="仿宋_GB2312"/>
          <w:color w:val="333333"/>
          <w:kern w:val="0"/>
          <w:sz w:val="28"/>
          <w:szCs w:val="28"/>
          <w:shd w:val="clear" w:color="auto" w:fill="FFFFFF"/>
          <w:lang w:bidi="ar"/>
        </w:rPr>
        <w:t xml:space="preserve">（2）如为租赁：投标时须提供设备的租赁合同、设备出租方的购置发票、购置合同扫描件和现场实物照片； </w:t>
      </w:r>
    </w:p>
    <w:p w14:paraId="117413B4">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（3）如设备名称与所列设备名称不同，但具备同等功能或更好性能的，投标文件中附上设备产品说明书等材料，经评标委员会认可后可以得分。</w:t>
      </w:r>
    </w:p>
    <w:p w14:paraId="7048B7C5">
      <w:pPr>
        <w:spacing w:line="560" w:lineRule="exact"/>
        <w:rPr>
          <w:rFonts w:ascii="仿宋_GB2312" w:hAnsi="仿宋_GB2312" w:eastAsia="仿宋_GB2312" w:cs="仿宋_GB2312"/>
          <w:b/>
          <w:bCs/>
          <w:color w:val="333333"/>
          <w:kern w:val="0"/>
          <w:sz w:val="28"/>
          <w:szCs w:val="28"/>
          <w:shd w:val="clear" w:color="auto" w:fill="FFFFFF"/>
          <w:lang w:bidi="ar"/>
        </w:rPr>
      </w:pPr>
      <w:r>
        <w:rPr>
          <w:rFonts w:hint="eastAsia" w:ascii="仿宋_GB2312" w:hAnsi="仿宋_GB2312" w:eastAsia="仿宋_GB2312" w:cs="仿宋_GB2312"/>
          <w:b/>
          <w:bCs/>
          <w:color w:val="333333"/>
          <w:kern w:val="0"/>
          <w:sz w:val="28"/>
          <w:szCs w:val="28"/>
          <w:shd w:val="clear" w:color="auto" w:fill="FFFFFF"/>
          <w:lang w:bidi="ar"/>
        </w:rPr>
        <w:t>（四）免费质保期</w:t>
      </w:r>
    </w:p>
    <w:p w14:paraId="5DE1F3BA">
      <w:pPr>
        <w:spacing w:line="560" w:lineRule="exact"/>
        <w:ind w:firstLine="560" w:firstLineChars="200"/>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所投产品免费质保期在满足招标文件要求的3年的基础上，可增加</w:t>
      </w:r>
      <w:r>
        <w:rPr>
          <w:rFonts w:hint="eastAsia" w:ascii="仿宋_GB2312" w:hAnsi="仿宋_GB2312" w:eastAsia="仿宋_GB2312" w:cs="仿宋_GB2312"/>
          <w:color w:val="333333"/>
          <w:kern w:val="0"/>
          <w:sz w:val="28"/>
          <w:szCs w:val="28"/>
          <w:u w:val="single"/>
          <w:shd w:val="clear" w:color="auto" w:fill="FFFFFF"/>
          <w:lang w:bidi="ar"/>
        </w:rPr>
        <w:t xml:space="preserve">      </w:t>
      </w:r>
      <w:r>
        <w:rPr>
          <w:rFonts w:hint="eastAsia" w:ascii="仿宋_GB2312" w:hAnsi="仿宋_GB2312" w:eastAsia="仿宋_GB2312" w:cs="仿宋_GB2312"/>
          <w:color w:val="333333"/>
          <w:kern w:val="0"/>
          <w:sz w:val="28"/>
          <w:szCs w:val="28"/>
          <w:shd w:val="clear" w:color="auto" w:fill="FFFFFF"/>
          <w:lang w:bidi="ar"/>
        </w:rPr>
        <w:t>年免费质保期。</w:t>
      </w:r>
    </w:p>
    <w:p w14:paraId="4CD021F6">
      <w:pPr>
        <w:spacing w:line="560" w:lineRule="exact"/>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b/>
          <w:bCs/>
          <w:color w:val="333333"/>
          <w:kern w:val="0"/>
          <w:sz w:val="28"/>
          <w:szCs w:val="28"/>
          <w:shd w:val="clear" w:color="auto" w:fill="FFFFFF"/>
          <w:lang w:bidi="ar"/>
        </w:rPr>
        <w:t>（五）投标人业绩</w:t>
      </w:r>
      <w:r>
        <w:rPr>
          <w:rFonts w:hint="eastAsia" w:ascii="仿宋_GB2312" w:hAnsi="仿宋_GB2312" w:eastAsia="仿宋_GB2312" w:cs="仿宋_GB2312"/>
          <w:color w:val="333333"/>
          <w:kern w:val="0"/>
          <w:sz w:val="28"/>
          <w:szCs w:val="28"/>
          <w:shd w:val="clear" w:color="auto" w:fill="FFFFFF"/>
          <w:lang w:bidi="ar"/>
        </w:rPr>
        <w:t>（提供业绩合同及验收证明材料扫描件，如材料无法体现合同签订时间、 供货内容等关键评审因素时，须另提供业主单位出具的证明材料扫描件，否则不予认可）</w:t>
      </w:r>
    </w:p>
    <w:p w14:paraId="4D3E79CA">
      <w:pPr>
        <w:spacing w:line="560" w:lineRule="exact"/>
        <w:ind w:firstLine="560" w:firstLineChars="200"/>
        <w:rPr>
          <w:rFonts w:ascii="仿宋_GB2312" w:hAnsi="仿宋_GB2312" w:eastAsia="仿宋_GB2312" w:cs="仿宋_GB2312"/>
          <w:color w:val="333333"/>
          <w:kern w:val="0"/>
          <w:sz w:val="28"/>
          <w:szCs w:val="28"/>
          <w:shd w:val="clear" w:color="auto" w:fill="FFFFFF"/>
          <w:lang w:bidi="ar"/>
        </w:rPr>
      </w:pPr>
      <w:r>
        <w:rPr>
          <w:rFonts w:ascii="仿宋_GB2312" w:hAnsi="仿宋_GB2312" w:eastAsia="仿宋_GB2312" w:cs="仿宋_GB2312"/>
          <w:color w:val="333333"/>
          <w:kern w:val="0"/>
          <w:sz w:val="28"/>
          <w:szCs w:val="28"/>
          <w:shd w:val="clear" w:color="auto" w:fill="FFFFFF"/>
          <w:lang w:bidi="ar"/>
        </w:rPr>
        <w:t>自 2022 年 1 月 1 日以来（以合同签订日期为准），投标人具有</w:t>
      </w:r>
      <w:r>
        <w:rPr>
          <w:rFonts w:ascii="仿宋_GB2312" w:hAnsi="仿宋_GB2312" w:eastAsia="仿宋_GB2312" w:cs="仿宋_GB2312"/>
          <w:color w:val="333333"/>
          <w:kern w:val="0"/>
          <w:sz w:val="28"/>
          <w:szCs w:val="28"/>
          <w:u w:val="single"/>
          <w:shd w:val="clear" w:color="auto" w:fill="FFFFFF"/>
          <w:lang w:bidi="ar"/>
        </w:rPr>
        <w:t xml:space="preserve">    </w:t>
      </w:r>
      <w:r>
        <w:rPr>
          <w:rFonts w:hint="eastAsia" w:ascii="仿宋_GB2312" w:hAnsi="仿宋_GB2312" w:eastAsia="仿宋_GB2312" w:cs="仿宋_GB2312"/>
          <w:color w:val="333333"/>
          <w:kern w:val="0"/>
          <w:sz w:val="28"/>
          <w:szCs w:val="28"/>
          <w:shd w:val="clear" w:color="auto" w:fill="FFFFFF"/>
          <w:lang w:bidi="ar"/>
        </w:rPr>
        <w:t>个</w:t>
      </w:r>
      <w:r>
        <w:rPr>
          <w:rFonts w:ascii="仿宋_GB2312" w:hAnsi="仿宋_GB2312" w:eastAsia="仿宋_GB2312" w:cs="仿宋_GB2312"/>
          <w:color w:val="333333"/>
          <w:kern w:val="0"/>
          <w:sz w:val="28"/>
          <w:szCs w:val="28"/>
          <w:shd w:val="clear" w:color="auto" w:fill="FFFFFF"/>
          <w:lang w:bidi="ar"/>
        </w:rPr>
        <w:t>公寓床（或公寓组合床）供货业绩。</w:t>
      </w:r>
    </w:p>
    <w:p w14:paraId="5C4FF6F0">
      <w:pPr>
        <w:spacing w:line="560" w:lineRule="exact"/>
        <w:ind w:left="-13" w:firstLine="643"/>
        <w:rPr>
          <w:rFonts w:ascii="仿宋_GB2312" w:hAnsi="仿宋_GB2312" w:eastAsia="仿宋_GB2312" w:cs="仿宋_GB2312"/>
          <w:b/>
          <w:bCs/>
          <w:color w:val="333333"/>
          <w:kern w:val="0"/>
          <w:sz w:val="28"/>
          <w:szCs w:val="28"/>
          <w:shd w:val="clear" w:color="auto" w:fill="FFFFFF"/>
          <w:lang w:bidi="ar"/>
        </w:rPr>
      </w:pPr>
      <w:r>
        <w:rPr>
          <w:rFonts w:hint="eastAsia" w:ascii="仿宋_GB2312" w:hAnsi="仿宋_GB2312" w:eastAsia="仿宋_GB2312" w:cs="仿宋_GB2312"/>
          <w:b/>
          <w:bCs/>
          <w:color w:val="333333"/>
          <w:kern w:val="0"/>
          <w:sz w:val="28"/>
          <w:szCs w:val="28"/>
          <w:shd w:val="clear" w:color="auto" w:fill="FFFFFF"/>
          <w:lang w:bidi="ar"/>
        </w:rPr>
        <w:t>五、其他方面的建议</w:t>
      </w:r>
    </w:p>
    <w:p w14:paraId="0DCBDFCB">
      <w:pPr>
        <w:spacing w:line="560" w:lineRule="exact"/>
        <w:ind w:left="630"/>
        <w:rPr>
          <w:rFonts w:ascii="仿宋_GB2312" w:hAnsi="仿宋_GB2312" w:eastAsia="仿宋_GB2312" w:cs="仿宋_GB2312"/>
          <w:b/>
          <w:bCs/>
          <w:color w:val="333333"/>
          <w:kern w:val="0"/>
          <w:sz w:val="28"/>
          <w:szCs w:val="28"/>
          <w:shd w:val="clear" w:color="auto" w:fill="FFFFFF"/>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仿宋_GB2312">
    <w:altName w:val="Malgun Gothic Semilight"/>
    <w:panose1 w:val="00000000000000000000"/>
    <w:charset w:val="86"/>
    <w:family w:val="auto"/>
    <w:pitch w:val="default"/>
    <w:sig w:usb0="00000000" w:usb1="00000000" w:usb2="00000012" w:usb3="00000000" w:csb0="00040001" w:csb1="00000000"/>
  </w:font>
  <w:font w:name="Malgun Gothic Semilight">
    <w:panose1 w:val="020B0502040204020203"/>
    <w:charset w:val="86"/>
    <w:family w:val="auto"/>
    <w:pitch w:val="default"/>
    <w:sig w:usb0="900002AF" w:usb1="01D77CFB" w:usb2="00000012" w:usb3="00000000" w:csb0="203E01BD" w:csb1="D7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F3F81"/>
    <w:rsid w:val="00052502"/>
    <w:rsid w:val="00072F95"/>
    <w:rsid w:val="00203B9A"/>
    <w:rsid w:val="007423BF"/>
    <w:rsid w:val="008B6224"/>
    <w:rsid w:val="009C06AF"/>
    <w:rsid w:val="00CE7B5C"/>
    <w:rsid w:val="02CB619B"/>
    <w:rsid w:val="02F913E6"/>
    <w:rsid w:val="035E4919"/>
    <w:rsid w:val="04247911"/>
    <w:rsid w:val="042C28C2"/>
    <w:rsid w:val="0443156D"/>
    <w:rsid w:val="080A32C2"/>
    <w:rsid w:val="08B817AC"/>
    <w:rsid w:val="0A1E3055"/>
    <w:rsid w:val="0A6842D0"/>
    <w:rsid w:val="0BCE4606"/>
    <w:rsid w:val="0E9438E5"/>
    <w:rsid w:val="0F895414"/>
    <w:rsid w:val="110330F8"/>
    <w:rsid w:val="11166833"/>
    <w:rsid w:val="131B45D5"/>
    <w:rsid w:val="133E2072"/>
    <w:rsid w:val="15C251DC"/>
    <w:rsid w:val="16070E41"/>
    <w:rsid w:val="189270E7"/>
    <w:rsid w:val="18CE7623"/>
    <w:rsid w:val="18D72D4C"/>
    <w:rsid w:val="1A9C424D"/>
    <w:rsid w:val="1A9F789A"/>
    <w:rsid w:val="1C8925AF"/>
    <w:rsid w:val="1E9E60BA"/>
    <w:rsid w:val="1ED41ADC"/>
    <w:rsid w:val="1F1B7D78"/>
    <w:rsid w:val="1F8630A6"/>
    <w:rsid w:val="22737F8A"/>
    <w:rsid w:val="23AA209F"/>
    <w:rsid w:val="241430A6"/>
    <w:rsid w:val="246A716A"/>
    <w:rsid w:val="26655E3B"/>
    <w:rsid w:val="26A76CAE"/>
    <w:rsid w:val="281318C7"/>
    <w:rsid w:val="28252666"/>
    <w:rsid w:val="282906E3"/>
    <w:rsid w:val="28C64CDF"/>
    <w:rsid w:val="2AAF3B29"/>
    <w:rsid w:val="2B040D95"/>
    <w:rsid w:val="2B25203D"/>
    <w:rsid w:val="2B7B7397"/>
    <w:rsid w:val="2C892158"/>
    <w:rsid w:val="2D940DB4"/>
    <w:rsid w:val="2DDD484D"/>
    <w:rsid w:val="2EF67533"/>
    <w:rsid w:val="30BA4D94"/>
    <w:rsid w:val="351153E0"/>
    <w:rsid w:val="35305866"/>
    <w:rsid w:val="365E4F6F"/>
    <w:rsid w:val="36C109A0"/>
    <w:rsid w:val="37E83485"/>
    <w:rsid w:val="39074B30"/>
    <w:rsid w:val="395D2F06"/>
    <w:rsid w:val="3AD153F6"/>
    <w:rsid w:val="3AF410E4"/>
    <w:rsid w:val="3CA44EDF"/>
    <w:rsid w:val="3CAC043E"/>
    <w:rsid w:val="3CD34171"/>
    <w:rsid w:val="3FC4377B"/>
    <w:rsid w:val="40C92FD1"/>
    <w:rsid w:val="421D7172"/>
    <w:rsid w:val="43394480"/>
    <w:rsid w:val="43874C54"/>
    <w:rsid w:val="44E62CF1"/>
    <w:rsid w:val="45A35BE1"/>
    <w:rsid w:val="45C049E4"/>
    <w:rsid w:val="48376AB4"/>
    <w:rsid w:val="48E45B7B"/>
    <w:rsid w:val="4E9C58C3"/>
    <w:rsid w:val="4ED73B23"/>
    <w:rsid w:val="4F6C5116"/>
    <w:rsid w:val="50393E2E"/>
    <w:rsid w:val="52862B12"/>
    <w:rsid w:val="562C577E"/>
    <w:rsid w:val="562E14F6"/>
    <w:rsid w:val="564C16E2"/>
    <w:rsid w:val="56644F18"/>
    <w:rsid w:val="58B147B4"/>
    <w:rsid w:val="58DA5965"/>
    <w:rsid w:val="59BC506B"/>
    <w:rsid w:val="5E0F6205"/>
    <w:rsid w:val="5E9814EE"/>
    <w:rsid w:val="5FD17AC2"/>
    <w:rsid w:val="603B318E"/>
    <w:rsid w:val="60DF3F81"/>
    <w:rsid w:val="60EC6976"/>
    <w:rsid w:val="613A3445"/>
    <w:rsid w:val="6176659B"/>
    <w:rsid w:val="62B334AF"/>
    <w:rsid w:val="64026340"/>
    <w:rsid w:val="642D7291"/>
    <w:rsid w:val="64DE6931"/>
    <w:rsid w:val="650E70C3"/>
    <w:rsid w:val="663E6F6C"/>
    <w:rsid w:val="675A1003"/>
    <w:rsid w:val="679B09B6"/>
    <w:rsid w:val="67F26828"/>
    <w:rsid w:val="68E5638C"/>
    <w:rsid w:val="6C9276B9"/>
    <w:rsid w:val="6C9C2524"/>
    <w:rsid w:val="6DB4457F"/>
    <w:rsid w:val="6DEF229A"/>
    <w:rsid w:val="6E080427"/>
    <w:rsid w:val="6E881C94"/>
    <w:rsid w:val="6F1E3486"/>
    <w:rsid w:val="70B4330D"/>
    <w:rsid w:val="739F538A"/>
    <w:rsid w:val="74FF4332"/>
    <w:rsid w:val="762F6E99"/>
    <w:rsid w:val="766F7295"/>
    <w:rsid w:val="769907B6"/>
    <w:rsid w:val="793D18CD"/>
    <w:rsid w:val="79AA2E2E"/>
    <w:rsid w:val="7A1F0FD2"/>
    <w:rsid w:val="7C4D0079"/>
    <w:rsid w:val="7CF16C56"/>
    <w:rsid w:val="7CFC55FB"/>
    <w:rsid w:val="7F0A7583"/>
    <w:rsid w:val="7F5D6102"/>
    <w:rsid w:val="7F5E7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2"/>
    <w:basedOn w:val="2"/>
    <w:next w:val="1"/>
    <w:qFormat/>
    <w:uiPriority w:val="0"/>
    <w:pPr>
      <w:spacing w:after="0"/>
      <w:ind w:left="0" w:leftChars="0" w:firstLine="420"/>
    </w:pPr>
    <w:rPr>
      <w:rFonts w:ascii="微软简标宋" w:hAnsi="微软简标宋"/>
      <w:color w:val="000000"/>
      <w:sz w:val="24"/>
    </w:rPr>
  </w:style>
  <w:style w:type="character" w:styleId="7">
    <w:name w:val="Hyperlink"/>
    <w:basedOn w:val="6"/>
    <w:uiPriority w:val="0"/>
    <w:rPr>
      <w:color w:val="0000FF"/>
      <w:u w:val="single"/>
    </w:rPr>
  </w:style>
  <w:style w:type="paragraph" w:customStyle="1" w:styleId="8">
    <w:name w:val="Table Text"/>
    <w:basedOn w:val="1"/>
    <w:semiHidden/>
    <w:qFormat/>
    <w:uiPriority w:val="0"/>
    <w:rPr>
      <w:rFonts w:ascii="宋体" w:hAnsi="宋体" w:cs="宋体"/>
      <w:sz w:val="24"/>
      <w:lang w:eastAsia="en-US"/>
    </w:rPr>
  </w:style>
  <w:style w:type="paragraph" w:customStyle="1" w:styleId="9">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18</Pages>
  <Words>7857</Words>
  <Characters>9268</Characters>
  <Lines>69</Lines>
  <Paragraphs>19</Paragraphs>
  <TotalTime>27</TotalTime>
  <ScaleCrop>false</ScaleCrop>
  <LinksUpToDate>false</LinksUpToDate>
  <CharactersWithSpaces>9625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2025-08-04T07:09:00Z</dcterms:created>
  <dc:creator>Wang</dc:creator>
  <cp:lastModifiedBy>qiu</cp:lastModifiedBy>
  <dcterms:modified xsi:type="dcterms:W3CDTF">2025-09-23T04:20:03Z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A9E2A8404CC041FCB39E46F0D86FA1F8_13</vt:lpwstr>
  </property>
  <property fmtid="{D5CDD505-2E9C-101B-9397-08002B2CF9AE}" pid="4" name="KSOTemplateDocerSaveRecord">
    <vt:lpwstr>eyJoZGlkIjoiOGFjZWIxMzMzYjg0YTNmZTViOGJiNmRmZmQ5YzQ5NWMiLCJ1c2VySWQiOiI1NjcyNzkzMjAifQ==</vt:lpwstr>
  </property>
</Properties>
</file>